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783" w:rsidRPr="00CB7222" w:rsidRDefault="003D7306" w:rsidP="00050447">
      <w:pPr>
        <w:ind w:right="-709"/>
        <w:jc w:val="center"/>
        <w:rPr>
          <w:b/>
          <w:sz w:val="32"/>
          <w:szCs w:val="32"/>
        </w:rPr>
      </w:pPr>
      <w:bookmarkStart w:id="0" w:name="_GoBack"/>
      <w:bookmarkEnd w:id="0"/>
      <w:r w:rsidRPr="00CB7222">
        <w:rPr>
          <w:b/>
          <w:sz w:val="32"/>
          <w:szCs w:val="32"/>
        </w:rPr>
        <w:t>Epreuve de l’UE O3 M</w:t>
      </w:r>
      <w:r w:rsidR="006933D7">
        <w:rPr>
          <w:b/>
          <w:sz w:val="32"/>
          <w:szCs w:val="32"/>
        </w:rPr>
        <w:t>2 Pharmacologie Filière Pro 2020-2021</w:t>
      </w:r>
    </w:p>
    <w:p w:rsidR="00CC7092" w:rsidRPr="009B4208" w:rsidRDefault="006933D7" w:rsidP="00050447">
      <w:pPr>
        <w:ind w:right="-709"/>
        <w:jc w:val="center"/>
        <w:rPr>
          <w:b/>
          <w:sz w:val="32"/>
          <w:szCs w:val="32"/>
        </w:rPr>
      </w:pPr>
      <w:r>
        <w:rPr>
          <w:b/>
          <w:sz w:val="32"/>
          <w:szCs w:val="32"/>
        </w:rPr>
        <w:t>19</w:t>
      </w:r>
      <w:r w:rsidR="00CC7092">
        <w:rPr>
          <w:b/>
          <w:sz w:val="32"/>
          <w:szCs w:val="32"/>
        </w:rPr>
        <w:t xml:space="preserve"> </w:t>
      </w:r>
      <w:r w:rsidR="003D7306" w:rsidRPr="00CB7222">
        <w:rPr>
          <w:b/>
          <w:sz w:val="32"/>
          <w:szCs w:val="32"/>
        </w:rPr>
        <w:t xml:space="preserve">janvier </w:t>
      </w:r>
      <w:r>
        <w:rPr>
          <w:b/>
          <w:sz w:val="32"/>
          <w:szCs w:val="32"/>
        </w:rPr>
        <w:t>2021 Durée de l’épreuve : 2 h</w:t>
      </w:r>
      <w:r w:rsidR="00B373BF">
        <w:rPr>
          <w:b/>
          <w:sz w:val="32"/>
          <w:szCs w:val="32"/>
        </w:rPr>
        <w:t xml:space="preserve"> (rédiger sur 2 copies différentes)</w:t>
      </w:r>
    </w:p>
    <w:p w:rsidR="00273F8A" w:rsidRPr="00EC1436" w:rsidRDefault="00BB117B" w:rsidP="00050447">
      <w:pPr>
        <w:ind w:right="-709"/>
        <w:rPr>
          <w:b/>
          <w:sz w:val="28"/>
          <w:szCs w:val="28"/>
        </w:rPr>
      </w:pPr>
      <w:r w:rsidRPr="00EC1436">
        <w:rPr>
          <w:b/>
          <w:sz w:val="28"/>
          <w:szCs w:val="28"/>
        </w:rPr>
        <w:t>Question A</w:t>
      </w:r>
      <w:r w:rsidR="00B762DF">
        <w:rPr>
          <w:b/>
          <w:sz w:val="28"/>
          <w:szCs w:val="28"/>
        </w:rPr>
        <w:t xml:space="preserve"> (sans aucun document) </w:t>
      </w:r>
      <w:r w:rsidR="00273F8A" w:rsidRPr="00EC1436">
        <w:rPr>
          <w:b/>
          <w:sz w:val="28"/>
          <w:szCs w:val="28"/>
        </w:rPr>
        <w:t> :</w:t>
      </w:r>
    </w:p>
    <w:p w:rsidR="00B373BF" w:rsidRDefault="00B373BF" w:rsidP="00050447">
      <w:pPr>
        <w:pStyle w:val="Textebrut"/>
        <w:numPr>
          <w:ilvl w:val="0"/>
          <w:numId w:val="13"/>
        </w:numPr>
        <w:ind w:right="-709"/>
      </w:pPr>
      <w:r>
        <w:t>Définition d’une inspection d’essai clinique. Différence avec un audit.</w:t>
      </w:r>
    </w:p>
    <w:p w:rsidR="00CC7092" w:rsidRDefault="00B373BF" w:rsidP="00050447">
      <w:pPr>
        <w:pStyle w:val="Textebrut"/>
        <w:numPr>
          <w:ilvl w:val="0"/>
          <w:numId w:val="13"/>
        </w:numPr>
        <w:ind w:right="-709"/>
      </w:pPr>
      <w:r>
        <w:t>L’ANSM vous contacte afin de diligenter une inspection dans un essai médicamenteux dont vous vous occupez : Expliquez le déroulement d’une inspection A l'aide d'exemples, proposez un calendrier.</w:t>
      </w:r>
    </w:p>
    <w:p w:rsidR="009B4208" w:rsidRPr="009B4208" w:rsidRDefault="009B4208" w:rsidP="0014674C">
      <w:pPr>
        <w:pStyle w:val="Textebrut"/>
        <w:ind w:right="-709"/>
      </w:pPr>
    </w:p>
    <w:p w:rsidR="00685B2E" w:rsidRPr="00937576" w:rsidRDefault="00BB117B" w:rsidP="00050447">
      <w:pPr>
        <w:spacing w:after="0" w:line="240" w:lineRule="auto"/>
        <w:ind w:right="-709"/>
        <w:jc w:val="both"/>
        <w:outlineLvl w:val="0"/>
        <w:rPr>
          <w:rFonts w:eastAsia="Times New Roman" w:cstheme="minorHAnsi"/>
          <w:kern w:val="36"/>
          <w:lang w:val="en-GB" w:eastAsia="fr-FR"/>
        </w:rPr>
      </w:pPr>
      <w:r w:rsidRPr="00685B2E">
        <w:rPr>
          <w:rFonts w:cstheme="minorHAnsi"/>
          <w:b/>
          <w:sz w:val="28"/>
          <w:szCs w:val="28"/>
          <w:lang w:val="en-GB"/>
        </w:rPr>
        <w:t>Question B</w:t>
      </w:r>
      <w:r w:rsidR="00EC1436" w:rsidRPr="00685B2E">
        <w:rPr>
          <w:rFonts w:cstheme="minorHAnsi"/>
          <w:b/>
          <w:sz w:val="28"/>
          <w:szCs w:val="28"/>
          <w:lang w:val="en-GB"/>
        </w:rPr>
        <w:t xml:space="preserve"> </w:t>
      </w:r>
      <w:r w:rsidR="00B762DF">
        <w:rPr>
          <w:rFonts w:cstheme="minorHAnsi"/>
          <w:b/>
          <w:sz w:val="28"/>
          <w:szCs w:val="28"/>
          <w:lang w:val="en-GB"/>
        </w:rPr>
        <w:t xml:space="preserve">(documents autorisés, sans accès internet) </w:t>
      </w:r>
      <w:r w:rsidR="00CB7222" w:rsidRPr="00685B2E">
        <w:rPr>
          <w:b/>
          <w:sz w:val="28"/>
          <w:szCs w:val="28"/>
          <w:lang w:val="en-GB"/>
        </w:rPr>
        <w:t>:</w:t>
      </w:r>
      <w:r w:rsidRPr="00685B2E">
        <w:rPr>
          <w:b/>
          <w:lang w:val="en-GB"/>
        </w:rPr>
        <w:t xml:space="preserve">  </w:t>
      </w:r>
      <w:r w:rsidR="00685B2E" w:rsidRPr="00937576">
        <w:rPr>
          <w:rFonts w:eastAsia="Times New Roman" w:cstheme="minorHAnsi"/>
          <w:kern w:val="36"/>
          <w:lang w:val="en-GB" w:eastAsia="fr-FR"/>
        </w:rPr>
        <w:t>Olaparib and durvalumab in patients with germline </w:t>
      </w:r>
      <w:r w:rsidR="00685B2E" w:rsidRPr="00937576">
        <w:rPr>
          <w:rFonts w:eastAsia="Times New Roman" w:cstheme="minorHAnsi"/>
          <w:i/>
          <w:iCs/>
          <w:kern w:val="36"/>
          <w:lang w:val="en-GB" w:eastAsia="fr-FR"/>
        </w:rPr>
        <w:t>BRCA</w:t>
      </w:r>
      <w:r w:rsidR="00685B2E" w:rsidRPr="00937576">
        <w:rPr>
          <w:rFonts w:eastAsia="Times New Roman" w:cstheme="minorHAnsi"/>
          <w:kern w:val="36"/>
          <w:lang w:val="en-GB" w:eastAsia="fr-FR"/>
        </w:rPr>
        <w:t xml:space="preserve"> -mutated metastatic breast cancer (MEDIOLA): an open-label, multicentre, phase 1/2, basket study  </w:t>
      </w:r>
    </w:p>
    <w:p w:rsidR="00685B2E" w:rsidRPr="00937576" w:rsidRDefault="00685B2E" w:rsidP="00050447">
      <w:pPr>
        <w:spacing w:after="240" w:line="240" w:lineRule="auto"/>
        <w:ind w:right="-709"/>
        <w:jc w:val="both"/>
        <w:rPr>
          <w:rFonts w:eastAsia="Times New Roman" w:cstheme="minorHAnsi"/>
          <w:lang w:val="en-GB" w:eastAsia="fr-FR"/>
        </w:rPr>
      </w:pPr>
      <w:r w:rsidRPr="001A56F3">
        <w:rPr>
          <w:rFonts w:eastAsia="Times New Roman" w:cstheme="minorHAnsi"/>
          <w:lang w:val="en-GB" w:eastAsia="fr-FR"/>
        </w:rPr>
        <w:t>Susan M Domchek et al Lancet</w:t>
      </w:r>
      <w:r w:rsidRPr="00937576">
        <w:rPr>
          <w:rFonts w:eastAsia="Times New Roman" w:cstheme="minorHAnsi"/>
          <w:lang w:val="en-GB" w:eastAsia="fr-FR"/>
        </w:rPr>
        <w:t xml:space="preserve"> Oncology, The, 2020-09-01, Volume 21, Numéro 9, Pages 1155-1164</w:t>
      </w:r>
    </w:p>
    <w:p w:rsidR="00685B2E" w:rsidRPr="00937576" w:rsidRDefault="00685B2E" w:rsidP="00050447">
      <w:pPr>
        <w:shd w:val="clear" w:color="auto" w:fill="FFFFFF"/>
        <w:spacing w:after="120" w:line="240" w:lineRule="auto"/>
        <w:ind w:right="-709"/>
        <w:jc w:val="both"/>
        <w:outlineLvl w:val="1"/>
        <w:rPr>
          <w:rFonts w:eastAsia="Times New Roman" w:cstheme="minorHAnsi"/>
          <w:b/>
          <w:lang w:val="en-GB" w:eastAsia="fr-FR"/>
        </w:rPr>
      </w:pPr>
      <w:r w:rsidRPr="00937576">
        <w:rPr>
          <w:rFonts w:eastAsia="Times New Roman" w:cstheme="minorHAnsi"/>
          <w:b/>
          <w:lang w:val="en-GB" w:eastAsia="fr-FR"/>
        </w:rPr>
        <w:t>Summary</w:t>
      </w:r>
    </w:p>
    <w:p w:rsidR="00685B2E" w:rsidRPr="00937576" w:rsidRDefault="00685B2E" w:rsidP="00050447">
      <w:pPr>
        <w:shd w:val="clear" w:color="auto" w:fill="FFFFFF"/>
        <w:spacing w:after="120" w:line="240" w:lineRule="auto"/>
        <w:ind w:right="-709"/>
        <w:jc w:val="both"/>
        <w:outlineLvl w:val="1"/>
        <w:rPr>
          <w:rFonts w:eastAsia="Times New Roman" w:cstheme="minorHAnsi"/>
          <w:lang w:val="en-GB" w:eastAsia="fr-FR"/>
        </w:rPr>
      </w:pPr>
      <w:r w:rsidRPr="00937576">
        <w:rPr>
          <w:rFonts w:eastAsia="Times New Roman" w:cstheme="minorHAnsi"/>
          <w:u w:val="single"/>
          <w:lang w:val="en-GB" w:eastAsia="fr-FR"/>
        </w:rPr>
        <w:t>Background</w:t>
      </w:r>
      <w:r w:rsidRPr="00937576">
        <w:rPr>
          <w:rFonts w:eastAsia="Times New Roman" w:cstheme="minorHAnsi"/>
          <w:lang w:val="en-GB" w:eastAsia="fr-FR"/>
        </w:rPr>
        <w:t>. Poly (ADP-ribose) polymerase inhibitors combined with immunotherapy have shown antitumour activity in preclinical studies. We aimed to assess the safety and activity of olaparib in combination with the PD-L1-inhibitor, durvalumab, in patients with germline </w:t>
      </w:r>
      <w:r w:rsidRPr="00937576">
        <w:rPr>
          <w:rFonts w:eastAsia="Times New Roman" w:cstheme="minorHAnsi"/>
          <w:i/>
          <w:iCs/>
          <w:lang w:val="en-GB" w:eastAsia="fr-FR"/>
        </w:rPr>
        <w:t>BRCA1</w:t>
      </w:r>
      <w:r w:rsidRPr="00937576">
        <w:rPr>
          <w:rFonts w:eastAsia="Times New Roman" w:cstheme="minorHAnsi"/>
          <w:lang w:val="en-GB" w:eastAsia="fr-FR"/>
        </w:rPr>
        <w:t> -mutated or </w:t>
      </w:r>
      <w:r w:rsidRPr="00937576">
        <w:rPr>
          <w:rFonts w:eastAsia="Times New Roman" w:cstheme="minorHAnsi"/>
          <w:i/>
          <w:iCs/>
          <w:lang w:val="en-GB" w:eastAsia="fr-FR"/>
        </w:rPr>
        <w:t>BRCA2</w:t>
      </w:r>
      <w:r w:rsidRPr="00937576">
        <w:rPr>
          <w:rFonts w:eastAsia="Times New Roman" w:cstheme="minorHAnsi"/>
          <w:lang w:val="en-GB" w:eastAsia="fr-FR"/>
        </w:rPr>
        <w:t> -mutated metastatic breast cancer.</w:t>
      </w:r>
    </w:p>
    <w:p w:rsidR="00685B2E" w:rsidRPr="00937576" w:rsidRDefault="00685B2E" w:rsidP="00050447">
      <w:pPr>
        <w:shd w:val="clear" w:color="auto" w:fill="FFFFFF"/>
        <w:spacing w:after="120" w:line="240" w:lineRule="auto"/>
        <w:ind w:right="-709"/>
        <w:jc w:val="both"/>
        <w:outlineLvl w:val="1"/>
        <w:rPr>
          <w:rFonts w:eastAsia="Times New Roman" w:cstheme="minorHAnsi"/>
          <w:lang w:val="en-GB" w:eastAsia="fr-FR"/>
        </w:rPr>
      </w:pPr>
      <w:r w:rsidRPr="00937576">
        <w:rPr>
          <w:rFonts w:eastAsia="Times New Roman" w:cstheme="minorHAnsi"/>
          <w:u w:val="single"/>
          <w:lang w:val="en-GB" w:eastAsia="fr-FR"/>
        </w:rPr>
        <w:t>Methods</w:t>
      </w:r>
      <w:r w:rsidRPr="00937576">
        <w:rPr>
          <w:rFonts w:eastAsia="Times New Roman" w:cstheme="minorHAnsi"/>
          <w:lang w:val="en-GB" w:eastAsia="fr-FR"/>
        </w:rPr>
        <w:t>. The MEDIOLA trial is a multicentre, open-label, phase 1/2, basket trial of durvalumab and olaparib in solid tumours. Patients were enrolled into four initial cohorts: germline </w:t>
      </w:r>
      <w:r w:rsidRPr="00937576">
        <w:rPr>
          <w:rFonts w:eastAsia="Times New Roman" w:cstheme="minorHAnsi"/>
          <w:i/>
          <w:iCs/>
          <w:lang w:val="en-GB" w:eastAsia="fr-FR"/>
        </w:rPr>
        <w:t>BRCA</w:t>
      </w:r>
      <w:r w:rsidRPr="00937576">
        <w:rPr>
          <w:rFonts w:eastAsia="Times New Roman" w:cstheme="minorHAnsi"/>
          <w:lang w:val="en-GB" w:eastAsia="fr-FR"/>
        </w:rPr>
        <w:t> -mutated, metastatic breast cancer; germline </w:t>
      </w:r>
      <w:r w:rsidRPr="00937576">
        <w:rPr>
          <w:rFonts w:eastAsia="Times New Roman" w:cstheme="minorHAnsi"/>
          <w:i/>
          <w:iCs/>
          <w:lang w:val="en-GB" w:eastAsia="fr-FR"/>
        </w:rPr>
        <w:t>BRCA</w:t>
      </w:r>
      <w:r w:rsidRPr="00937576">
        <w:rPr>
          <w:rFonts w:eastAsia="Times New Roman" w:cstheme="minorHAnsi"/>
          <w:lang w:val="en-GB" w:eastAsia="fr-FR"/>
        </w:rPr>
        <w:t xml:space="preserve"> -mutated, metastatic ovarian cancer; metastatic gastric cancer; and relapsed small-cell lung cancer. </w:t>
      </w:r>
      <w:r w:rsidRPr="0014674C">
        <w:rPr>
          <w:rFonts w:eastAsia="Times New Roman" w:cstheme="minorHAnsi"/>
          <w:b/>
          <w:lang w:val="en-GB" w:eastAsia="fr-FR"/>
        </w:rPr>
        <w:t>Here, we report on the cohort of patients with breast cancer</w:t>
      </w:r>
      <w:r w:rsidRPr="00937576">
        <w:rPr>
          <w:rFonts w:eastAsia="Times New Roman" w:cstheme="minorHAnsi"/>
          <w:lang w:val="en-GB" w:eastAsia="fr-FR"/>
        </w:rPr>
        <w:t>. Patients who were aged 18 years or older (or aged 19 years or older in South Korea) with germline </w:t>
      </w:r>
      <w:r w:rsidRPr="00937576">
        <w:rPr>
          <w:rFonts w:eastAsia="Times New Roman" w:cstheme="minorHAnsi"/>
          <w:i/>
          <w:iCs/>
          <w:lang w:val="en-GB" w:eastAsia="fr-FR"/>
        </w:rPr>
        <w:t>BRCA1</w:t>
      </w:r>
      <w:r w:rsidRPr="00937576">
        <w:rPr>
          <w:rFonts w:eastAsia="Times New Roman" w:cstheme="minorHAnsi"/>
          <w:lang w:val="en-GB" w:eastAsia="fr-FR"/>
        </w:rPr>
        <w:t> -mutated or </w:t>
      </w:r>
      <w:r w:rsidRPr="00937576">
        <w:rPr>
          <w:rFonts w:eastAsia="Times New Roman" w:cstheme="minorHAnsi"/>
          <w:i/>
          <w:iCs/>
          <w:lang w:val="en-GB" w:eastAsia="fr-FR"/>
        </w:rPr>
        <w:t>BRCA2</w:t>
      </w:r>
      <w:r w:rsidRPr="00937576">
        <w:rPr>
          <w:rFonts w:eastAsia="Times New Roman" w:cstheme="minorHAnsi"/>
          <w:lang w:val="en-GB" w:eastAsia="fr-FR"/>
        </w:rPr>
        <w:t xml:space="preserve"> -mutated or both and histologically confirmed, progressive, HER2-negative, metastatic breast cancer were enrolled from 14 health centres in the UK, the USA, Israel, France, Switzerland, and South Korea. Patients should not have received more than two previous lines of chemotherapy for metastatic breast cancer. Patients received 300 mg olaparib in tablet form orally twice daily for 4 weeks and thereafter a combination of olaparib 300 </w:t>
      </w:r>
      <w:r w:rsidR="00A97505">
        <w:rPr>
          <w:rFonts w:eastAsia="Times New Roman" w:cstheme="minorHAnsi"/>
          <w:lang w:val="en-GB" w:eastAsia="fr-FR"/>
        </w:rPr>
        <w:t>mg twice daily and durvalumab 1.</w:t>
      </w:r>
      <w:r w:rsidRPr="00937576">
        <w:rPr>
          <w:rFonts w:eastAsia="Times New Roman" w:cstheme="minorHAnsi"/>
          <w:lang w:val="en-GB" w:eastAsia="fr-FR"/>
        </w:rPr>
        <w:t xml:space="preserve">5 g via intravenous infusion every 4 weeks until disease progression. Primary endpoints were safety and tolerability, and 12-week disease control rate. Safety was analysed in patients who received at least one dose of study treatment, and activity analyses were done in the full-analysis set (patients who received at least one dose of study treatment and were not excluded from the study). Recruitment has completed and the study is ongoing. This trial is registered </w:t>
      </w:r>
      <w:r w:rsidRPr="0059405C">
        <w:rPr>
          <w:rFonts w:eastAsia="Times New Roman" w:cstheme="minorHAnsi"/>
          <w:lang w:val="en-GB" w:eastAsia="fr-FR"/>
        </w:rPr>
        <w:t>with </w:t>
      </w:r>
      <w:hyperlink r:id="rId7" w:tgtFrame="_blank" w:history="1">
        <w:r w:rsidRPr="0059405C">
          <w:rPr>
            <w:rFonts w:eastAsia="Times New Roman" w:cstheme="minorHAnsi"/>
            <w:lang w:val="en-GB" w:eastAsia="fr-FR"/>
          </w:rPr>
          <w:t>ClinicalTrials.gov</w:t>
        </w:r>
      </w:hyperlink>
      <w:r w:rsidRPr="0059405C">
        <w:rPr>
          <w:rFonts w:eastAsia="Times New Roman" w:cstheme="minorHAnsi"/>
          <w:lang w:val="en-GB" w:eastAsia="fr-FR"/>
        </w:rPr>
        <w:t> , </w:t>
      </w:r>
      <w:hyperlink r:id="rId8" w:tgtFrame="_blank" w:history="1">
        <w:r w:rsidRPr="0059405C">
          <w:rPr>
            <w:rFonts w:eastAsia="Times New Roman" w:cstheme="minorHAnsi"/>
            <w:lang w:val="en-GB" w:eastAsia="fr-FR"/>
          </w:rPr>
          <w:t>NCT02734004</w:t>
        </w:r>
      </w:hyperlink>
      <w:r w:rsidRPr="0059405C">
        <w:rPr>
          <w:rFonts w:eastAsia="Times New Roman" w:cstheme="minorHAnsi"/>
          <w:lang w:val="en-GB" w:eastAsia="fr-FR"/>
        </w:rPr>
        <w:t> .</w:t>
      </w:r>
    </w:p>
    <w:p w:rsidR="00685B2E" w:rsidRPr="00937576" w:rsidRDefault="00685B2E" w:rsidP="00050447">
      <w:pPr>
        <w:shd w:val="clear" w:color="auto" w:fill="FFFFFF"/>
        <w:spacing w:after="120" w:line="240" w:lineRule="auto"/>
        <w:ind w:right="-709"/>
        <w:jc w:val="both"/>
        <w:outlineLvl w:val="1"/>
        <w:rPr>
          <w:rFonts w:eastAsia="Times New Roman" w:cstheme="minorHAnsi"/>
          <w:lang w:val="en-GB" w:eastAsia="fr-FR"/>
        </w:rPr>
      </w:pPr>
      <w:r w:rsidRPr="00937576">
        <w:rPr>
          <w:rFonts w:eastAsia="Times New Roman" w:cstheme="minorHAnsi"/>
          <w:u w:val="single"/>
          <w:lang w:val="en-GB" w:eastAsia="fr-FR"/>
        </w:rPr>
        <w:t>Findings</w:t>
      </w:r>
      <w:r w:rsidRPr="00937576">
        <w:rPr>
          <w:rFonts w:eastAsia="Times New Roman" w:cstheme="minorHAnsi"/>
          <w:lang w:val="en-GB" w:eastAsia="fr-FR"/>
        </w:rPr>
        <w:t>. Between June 14, 2016, and May 2, 2017, 34 patients were enrolled and received both study drugs and were included in the safety analysis. 11 (32%) patients experienced grade 3 or worse adverse events, of which the most common were anaemia (four [12%]), neutropenia (three [9%]), and pancreatitis (two [6%]). Three (9%) patients discontinued due to adverse events and four (12%) patients experienced a total of six serious adverse events. There were no treatment-related deaths. 24 (80%; 90% CI 64·3–90·9) of 30 patients eligible for activity analysis had disease control at 12 weeks.</w:t>
      </w:r>
    </w:p>
    <w:p w:rsidR="00685B2E" w:rsidRPr="00937576" w:rsidRDefault="00685B2E" w:rsidP="00050447">
      <w:pPr>
        <w:shd w:val="clear" w:color="auto" w:fill="FFFFFF"/>
        <w:spacing w:after="120" w:line="240" w:lineRule="auto"/>
        <w:ind w:right="-709"/>
        <w:jc w:val="both"/>
        <w:outlineLvl w:val="1"/>
        <w:rPr>
          <w:rFonts w:eastAsia="Times New Roman" w:cstheme="minorHAnsi"/>
          <w:lang w:val="en-GB" w:eastAsia="fr-FR"/>
        </w:rPr>
      </w:pPr>
      <w:r w:rsidRPr="00937576">
        <w:rPr>
          <w:rFonts w:eastAsia="Times New Roman" w:cstheme="minorHAnsi"/>
          <w:u w:val="single"/>
          <w:lang w:val="en-GB" w:eastAsia="fr-FR"/>
        </w:rPr>
        <w:t>Interpretation</w:t>
      </w:r>
      <w:r w:rsidRPr="00937576">
        <w:rPr>
          <w:rFonts w:eastAsia="Times New Roman" w:cstheme="minorHAnsi"/>
          <w:lang w:val="en-GB" w:eastAsia="fr-FR"/>
        </w:rPr>
        <w:t>. Combination of olaparib and durvalumab showed promising antitumour activity and safety similar to that previously observed in olaparib and durvalumab monotherapy studies</w:t>
      </w:r>
      <w:r w:rsidR="00955C5E">
        <w:rPr>
          <w:rFonts w:eastAsia="Times New Roman" w:cstheme="minorHAnsi"/>
          <w:lang w:val="en-GB" w:eastAsia="fr-FR"/>
        </w:rPr>
        <w:t xml:space="preserve">. </w:t>
      </w:r>
      <w:r w:rsidR="00955C5E" w:rsidRPr="00955C5E">
        <w:rPr>
          <w:rFonts w:eastAsia="Times New Roman" w:cstheme="minorHAnsi"/>
          <w:lang w:val="en-GB" w:eastAsia="fr-FR"/>
        </w:rPr>
        <w:t>Further research in a randomised setting</w:t>
      </w:r>
      <w:r w:rsidR="00955C5E">
        <w:rPr>
          <w:rFonts w:eastAsia="Times New Roman" w:cstheme="minorHAnsi"/>
          <w:lang w:val="en-GB" w:eastAsia="fr-FR"/>
        </w:rPr>
        <w:t xml:space="preserve"> </w:t>
      </w:r>
      <w:r w:rsidR="00955C5E" w:rsidRPr="00955C5E">
        <w:rPr>
          <w:rFonts w:eastAsia="Times New Roman" w:cstheme="minorHAnsi"/>
          <w:lang w:val="en-GB" w:eastAsia="fr-FR"/>
        </w:rPr>
        <w:t>is needed to determine predictors of therapeutic benefit and whether addition of durvalumab improves long-term</w:t>
      </w:r>
      <w:r w:rsidR="00955C5E">
        <w:rPr>
          <w:rFonts w:eastAsia="Times New Roman" w:cstheme="minorHAnsi"/>
          <w:lang w:val="en-GB" w:eastAsia="fr-FR"/>
        </w:rPr>
        <w:t xml:space="preserve"> </w:t>
      </w:r>
      <w:r w:rsidR="00955C5E" w:rsidRPr="00955C5E">
        <w:rPr>
          <w:rFonts w:eastAsia="Times New Roman" w:cstheme="minorHAnsi"/>
          <w:lang w:val="en-GB" w:eastAsia="fr-FR"/>
        </w:rPr>
        <w:t>clinical outcomes compared with olaparib monotherapy.</w:t>
      </w:r>
    </w:p>
    <w:p w:rsidR="009B4208" w:rsidRPr="00937576" w:rsidRDefault="009B4208" w:rsidP="00050447">
      <w:pPr>
        <w:shd w:val="clear" w:color="auto" w:fill="FFFFFF"/>
        <w:spacing w:after="120" w:line="240" w:lineRule="auto"/>
        <w:ind w:right="-709"/>
        <w:jc w:val="both"/>
        <w:outlineLvl w:val="1"/>
        <w:rPr>
          <w:rFonts w:eastAsia="Times New Roman" w:cstheme="minorHAnsi"/>
          <w:lang w:val="en-GB" w:eastAsia="fr-FR"/>
        </w:rPr>
      </w:pPr>
    </w:p>
    <w:p w:rsidR="00685B2E" w:rsidRPr="00937576" w:rsidRDefault="00685B2E" w:rsidP="00050447">
      <w:pPr>
        <w:shd w:val="clear" w:color="auto" w:fill="FFFFFF"/>
        <w:spacing w:after="120" w:line="240" w:lineRule="auto"/>
        <w:ind w:right="-709"/>
        <w:jc w:val="both"/>
        <w:outlineLvl w:val="1"/>
        <w:rPr>
          <w:rFonts w:eastAsia="Times New Roman" w:cstheme="minorHAnsi"/>
          <w:b/>
          <w:lang w:val="en-GB" w:eastAsia="fr-FR"/>
        </w:rPr>
      </w:pPr>
      <w:r w:rsidRPr="00937576">
        <w:rPr>
          <w:rFonts w:eastAsia="Times New Roman" w:cstheme="minorHAnsi"/>
          <w:b/>
          <w:lang w:val="en-GB" w:eastAsia="fr-FR"/>
        </w:rPr>
        <w:t>Introduction</w:t>
      </w:r>
    </w:p>
    <w:p w:rsidR="00685B2E" w:rsidRPr="00937576" w:rsidRDefault="00685B2E" w:rsidP="00050447">
      <w:pPr>
        <w:shd w:val="clear" w:color="auto" w:fill="FFFFFF"/>
        <w:spacing w:after="240" w:line="240" w:lineRule="auto"/>
        <w:ind w:right="-709"/>
        <w:jc w:val="both"/>
        <w:rPr>
          <w:rFonts w:eastAsia="Times New Roman" w:cstheme="minorHAnsi"/>
          <w:lang w:val="en-GB" w:eastAsia="fr-FR"/>
        </w:rPr>
      </w:pPr>
      <w:r w:rsidRPr="00937576">
        <w:rPr>
          <w:rFonts w:eastAsia="Times New Roman" w:cstheme="minorHAnsi"/>
          <w:i/>
          <w:iCs/>
          <w:lang w:val="en-GB" w:eastAsia="fr-FR"/>
        </w:rPr>
        <w:lastRenderedPageBreak/>
        <w:t>BRCA1</w:t>
      </w:r>
      <w:r w:rsidRPr="00937576">
        <w:rPr>
          <w:rFonts w:eastAsia="Times New Roman" w:cstheme="minorHAnsi"/>
          <w:lang w:val="en-GB" w:eastAsia="fr-FR"/>
        </w:rPr>
        <w:t> and </w:t>
      </w:r>
      <w:r w:rsidRPr="00937576">
        <w:rPr>
          <w:rFonts w:eastAsia="Times New Roman" w:cstheme="minorHAnsi"/>
          <w:i/>
          <w:iCs/>
          <w:lang w:val="en-GB" w:eastAsia="fr-FR"/>
        </w:rPr>
        <w:t>BRCA2</w:t>
      </w:r>
      <w:r w:rsidRPr="00937576">
        <w:rPr>
          <w:rFonts w:eastAsia="Times New Roman" w:cstheme="minorHAnsi"/>
          <w:lang w:val="en-GB" w:eastAsia="fr-FR"/>
        </w:rPr>
        <w:t> are tumour suppressor genes closely linked to breast cancer susceptibility. Pathogenic germline variants of </w:t>
      </w:r>
      <w:r w:rsidRPr="00937576">
        <w:rPr>
          <w:rFonts w:eastAsia="Times New Roman" w:cstheme="minorHAnsi"/>
          <w:i/>
          <w:iCs/>
          <w:lang w:val="en-GB" w:eastAsia="fr-FR"/>
        </w:rPr>
        <w:t>BRCA1</w:t>
      </w:r>
      <w:r w:rsidRPr="00937576">
        <w:rPr>
          <w:rFonts w:eastAsia="Times New Roman" w:cstheme="minorHAnsi"/>
          <w:lang w:val="en-GB" w:eastAsia="fr-FR"/>
        </w:rPr>
        <w:t> and </w:t>
      </w:r>
      <w:r w:rsidRPr="00937576">
        <w:rPr>
          <w:rFonts w:eastAsia="Times New Roman" w:cstheme="minorHAnsi"/>
          <w:i/>
          <w:iCs/>
          <w:lang w:val="en-GB" w:eastAsia="fr-FR"/>
        </w:rPr>
        <w:t>BRCA2</w:t>
      </w:r>
      <w:r w:rsidRPr="00937576">
        <w:rPr>
          <w:rFonts w:eastAsia="Times New Roman" w:cstheme="minorHAnsi"/>
          <w:lang w:val="en-GB" w:eastAsia="fr-FR"/>
        </w:rPr>
        <w:t> occur in approximately 5%</w:t>
      </w:r>
      <w:r w:rsidR="0059405C">
        <w:rPr>
          <w:rFonts w:eastAsia="Times New Roman" w:cstheme="minorHAnsi"/>
          <w:lang w:val="en-GB" w:eastAsia="fr-FR"/>
        </w:rPr>
        <w:t xml:space="preserve"> of patients with breast cancer</w:t>
      </w:r>
      <w:r w:rsidRPr="00937576">
        <w:rPr>
          <w:rFonts w:eastAsia="Times New Roman" w:cstheme="minorHAnsi"/>
          <w:lang w:val="en-GB" w:eastAsia="fr-FR"/>
        </w:rPr>
        <w:t>. </w:t>
      </w:r>
      <w:r w:rsidRPr="00937576">
        <w:rPr>
          <w:rFonts w:eastAsia="Times New Roman" w:cstheme="minorHAnsi"/>
          <w:vertAlign w:val="superscript"/>
          <w:lang w:val="en-GB" w:eastAsia="fr-FR"/>
        </w:rPr>
        <w:t>3</w:t>
      </w:r>
      <w:r w:rsidRPr="00937576">
        <w:rPr>
          <w:rFonts w:eastAsia="Times New Roman" w:cstheme="minorHAnsi"/>
          <w:lang w:val="en-GB" w:eastAsia="fr-FR"/>
        </w:rPr>
        <w:t> BRCA proteins help repair DNA double-strand breaks via the homologous recombination repair pathway. </w:t>
      </w:r>
      <w:r w:rsidRPr="00937576">
        <w:rPr>
          <w:rFonts w:eastAsia="Times New Roman" w:cstheme="minorHAnsi"/>
          <w:vertAlign w:val="superscript"/>
          <w:lang w:val="en-GB" w:eastAsia="fr-FR"/>
        </w:rPr>
        <w:t>4</w:t>
      </w:r>
      <w:r w:rsidRPr="00937576">
        <w:rPr>
          <w:rFonts w:eastAsia="Times New Roman" w:cstheme="minorHAnsi"/>
          <w:lang w:val="en-GB" w:eastAsia="fr-FR"/>
        </w:rPr>
        <w:t> Poly (ADP-ribose) polymerases (PARPs) are a family of enzymes involved in the repair of single-strand DNA breaks through base excision repair.</w:t>
      </w:r>
    </w:p>
    <w:p w:rsidR="00685B2E" w:rsidRPr="00937576" w:rsidRDefault="00685B2E" w:rsidP="00050447">
      <w:pPr>
        <w:shd w:val="clear" w:color="auto" w:fill="FFFFFF"/>
        <w:spacing w:after="240" w:line="240" w:lineRule="auto"/>
        <w:ind w:right="-709"/>
        <w:jc w:val="both"/>
        <w:rPr>
          <w:rFonts w:eastAsia="Times New Roman" w:cstheme="minorHAnsi"/>
          <w:lang w:val="en-GB" w:eastAsia="fr-FR"/>
        </w:rPr>
      </w:pPr>
      <w:r w:rsidRPr="00937576">
        <w:rPr>
          <w:rFonts w:eastAsia="Times New Roman" w:cstheme="minorHAnsi"/>
          <w:lang w:val="en-GB" w:eastAsia="fr-FR"/>
        </w:rPr>
        <w:t>In the OlympiAD study, olaparib showed a significant benefit over standard chemotherapy in patients with germline </w:t>
      </w:r>
      <w:r w:rsidRPr="00937576">
        <w:rPr>
          <w:rFonts w:eastAsia="Times New Roman" w:cstheme="minorHAnsi"/>
          <w:i/>
          <w:iCs/>
          <w:lang w:val="en-GB" w:eastAsia="fr-FR"/>
        </w:rPr>
        <w:t>BRCA1</w:t>
      </w:r>
      <w:r w:rsidRPr="00937576">
        <w:rPr>
          <w:rFonts w:eastAsia="Times New Roman" w:cstheme="minorHAnsi"/>
          <w:lang w:val="en-GB" w:eastAsia="fr-FR"/>
        </w:rPr>
        <w:t> -mutated or </w:t>
      </w:r>
      <w:r w:rsidRPr="00937576">
        <w:rPr>
          <w:rFonts w:eastAsia="Times New Roman" w:cstheme="minorHAnsi"/>
          <w:i/>
          <w:iCs/>
          <w:lang w:val="en-GB" w:eastAsia="fr-FR"/>
        </w:rPr>
        <w:t>BRCA2</w:t>
      </w:r>
      <w:r w:rsidRPr="00937576">
        <w:rPr>
          <w:rFonts w:eastAsia="Times New Roman" w:cstheme="minorHAnsi"/>
          <w:lang w:val="en-GB" w:eastAsia="fr-FR"/>
        </w:rPr>
        <w:t> -mutated metastatic breast cancer. … </w:t>
      </w:r>
      <w:r w:rsidRPr="00937576">
        <w:rPr>
          <w:rFonts w:eastAsia="Times New Roman" w:cstheme="minorHAnsi"/>
          <w:vertAlign w:val="superscript"/>
          <w:lang w:val="en-GB" w:eastAsia="fr-FR"/>
        </w:rPr>
        <w:t>6</w:t>
      </w:r>
    </w:p>
    <w:p w:rsidR="00685B2E" w:rsidRPr="00937576" w:rsidRDefault="00685B2E" w:rsidP="00050447">
      <w:pPr>
        <w:shd w:val="clear" w:color="auto" w:fill="FFFFFF"/>
        <w:spacing w:after="240" w:line="240" w:lineRule="auto"/>
        <w:ind w:right="-709"/>
        <w:jc w:val="both"/>
        <w:rPr>
          <w:rFonts w:eastAsia="Times New Roman" w:cstheme="minorHAnsi"/>
          <w:lang w:val="en-GB" w:eastAsia="fr-FR"/>
        </w:rPr>
      </w:pPr>
      <w:r w:rsidRPr="00937576">
        <w:rPr>
          <w:rFonts w:eastAsia="Times New Roman" w:cstheme="minorHAnsi"/>
          <w:lang w:val="en-GB" w:eastAsia="fr-FR"/>
        </w:rPr>
        <w:t xml:space="preserve">Durvalumab is a human IgG1 </w:t>
      </w:r>
      <w:r w:rsidRPr="00937576">
        <w:rPr>
          <w:rFonts w:eastAsia="Times New Roman" w:cstheme="minorHAnsi"/>
          <w:lang w:eastAsia="fr-FR"/>
        </w:rPr>
        <w:t>κ</w:t>
      </w:r>
      <w:r w:rsidRPr="00937576">
        <w:rPr>
          <w:rFonts w:eastAsia="Times New Roman" w:cstheme="minorHAnsi"/>
          <w:lang w:val="en-GB" w:eastAsia="fr-FR"/>
        </w:rPr>
        <w:t xml:space="preserve"> monoclonal antibody that inhibits binding of PD-L1 to its receptors PD-1 and CD80. Durvalumab is approved for the treatment of urothelial carcinoma </w:t>
      </w:r>
      <w:r w:rsidRPr="00937576">
        <w:rPr>
          <w:rFonts w:eastAsia="Times New Roman" w:cstheme="minorHAnsi"/>
          <w:vertAlign w:val="superscript"/>
          <w:lang w:val="en-GB" w:eastAsia="fr-FR"/>
        </w:rPr>
        <w:t>7</w:t>
      </w:r>
      <w:r w:rsidRPr="00937576">
        <w:rPr>
          <w:rFonts w:eastAsia="Times New Roman" w:cstheme="minorHAnsi"/>
          <w:lang w:val="en-GB" w:eastAsia="fr-FR"/>
        </w:rPr>
        <w:t> and unresectable stage 3 non-small-cell lung cancer. </w:t>
      </w:r>
      <w:r w:rsidRPr="00937576">
        <w:rPr>
          <w:rFonts w:eastAsia="Times New Roman" w:cstheme="minorHAnsi"/>
          <w:vertAlign w:val="superscript"/>
          <w:lang w:val="en-GB" w:eastAsia="fr-FR"/>
        </w:rPr>
        <w:t>8</w:t>
      </w:r>
      <w:r w:rsidRPr="00937576">
        <w:rPr>
          <w:rFonts w:eastAsia="Times New Roman" w:cstheme="minorHAnsi"/>
          <w:lang w:val="en-GB" w:eastAsia="fr-FR"/>
        </w:rPr>
        <w:t>…</w:t>
      </w:r>
    </w:p>
    <w:p w:rsidR="00685B2E" w:rsidRPr="00937576" w:rsidRDefault="00685B2E" w:rsidP="00050447">
      <w:pPr>
        <w:shd w:val="clear" w:color="auto" w:fill="FFFFFF"/>
        <w:spacing w:after="240" w:line="240" w:lineRule="auto"/>
        <w:ind w:right="-709"/>
        <w:jc w:val="both"/>
        <w:rPr>
          <w:rFonts w:eastAsia="Times New Roman" w:cstheme="minorHAnsi"/>
          <w:lang w:val="en-GB" w:eastAsia="fr-FR"/>
        </w:rPr>
      </w:pPr>
      <w:r w:rsidRPr="00937576">
        <w:rPr>
          <w:rFonts w:eastAsia="Times New Roman" w:cstheme="minorHAnsi"/>
          <w:lang w:val="en-GB" w:eastAsia="fr-FR"/>
        </w:rPr>
        <w:t>Immunotherapies combined with chemotherapy or a PARP inhibitor are being explored in various studies. …</w:t>
      </w:r>
    </w:p>
    <w:p w:rsidR="00685B2E" w:rsidRPr="00937576" w:rsidRDefault="00685B2E" w:rsidP="00050447">
      <w:pPr>
        <w:shd w:val="clear" w:color="auto" w:fill="FFFFFF"/>
        <w:spacing w:after="120" w:line="240" w:lineRule="auto"/>
        <w:ind w:right="-709"/>
        <w:jc w:val="both"/>
        <w:outlineLvl w:val="1"/>
        <w:rPr>
          <w:rFonts w:eastAsia="Times New Roman" w:cstheme="minorHAnsi"/>
          <w:b/>
          <w:lang w:val="en-GB" w:eastAsia="fr-FR"/>
        </w:rPr>
      </w:pPr>
      <w:r w:rsidRPr="00937576">
        <w:rPr>
          <w:rFonts w:eastAsia="Times New Roman" w:cstheme="minorHAnsi"/>
          <w:b/>
          <w:lang w:val="en-GB" w:eastAsia="fr-FR"/>
        </w:rPr>
        <w:t>Methods</w:t>
      </w:r>
    </w:p>
    <w:p w:rsidR="00685B2E" w:rsidRPr="00050447" w:rsidRDefault="00685B2E" w:rsidP="00050447">
      <w:pPr>
        <w:shd w:val="clear" w:color="auto" w:fill="FFFFFF"/>
        <w:spacing w:after="120" w:line="240" w:lineRule="auto"/>
        <w:ind w:right="-709"/>
        <w:jc w:val="both"/>
        <w:outlineLvl w:val="1"/>
        <w:rPr>
          <w:rFonts w:eastAsia="Times New Roman" w:cstheme="minorHAnsi"/>
          <w:u w:val="single"/>
          <w:lang w:val="en-GB" w:eastAsia="fr-FR"/>
        </w:rPr>
      </w:pPr>
      <w:r w:rsidRPr="00050447">
        <w:rPr>
          <w:rFonts w:eastAsia="Times New Roman" w:cstheme="minorHAnsi"/>
          <w:u w:val="single"/>
          <w:lang w:val="en-GB" w:eastAsia="fr-FR"/>
        </w:rPr>
        <w:t>Study design and participants</w:t>
      </w:r>
    </w:p>
    <w:p w:rsidR="00685B2E" w:rsidRPr="00E732D0" w:rsidRDefault="00685B2E" w:rsidP="00050447">
      <w:pPr>
        <w:shd w:val="clear" w:color="auto" w:fill="FFFFFF"/>
        <w:spacing w:after="240" w:line="240" w:lineRule="auto"/>
        <w:ind w:right="-709"/>
        <w:jc w:val="both"/>
        <w:rPr>
          <w:rFonts w:eastAsia="Times New Roman" w:cstheme="minorHAnsi"/>
          <w:lang w:val="en-GB" w:eastAsia="fr-FR"/>
        </w:rPr>
      </w:pPr>
      <w:r w:rsidRPr="00937576">
        <w:rPr>
          <w:rFonts w:eastAsia="Times New Roman" w:cstheme="minorHAnsi"/>
          <w:lang w:val="en-GB" w:eastAsia="fr-FR"/>
        </w:rPr>
        <w:t xml:space="preserve">MEDIOLA is a phase 1/2, open-label, basket study done in 14 medical centres in the UK, the USA, Israel, France, Switzerland, and South Korea. </w:t>
      </w:r>
      <w:r w:rsidR="00E732D0">
        <w:rPr>
          <w:rFonts w:eastAsia="Times New Roman" w:cstheme="minorHAnsi"/>
          <w:lang w:val="en-GB" w:eastAsia="fr-FR"/>
        </w:rPr>
        <w:t xml:space="preserve">The aim of the study is to </w:t>
      </w:r>
      <w:r w:rsidR="00E732D0" w:rsidRPr="00E732D0">
        <w:rPr>
          <w:rFonts w:eastAsia="Times New Roman" w:cstheme="minorHAnsi"/>
          <w:lang w:val="en-GB" w:eastAsia="fr-FR"/>
        </w:rPr>
        <w:t xml:space="preserve">evaluate safety and </w:t>
      </w:r>
      <w:r w:rsidR="00E732D0">
        <w:rPr>
          <w:rFonts w:eastAsia="Times New Roman" w:cstheme="minorHAnsi"/>
          <w:lang w:val="en-GB" w:eastAsia="fr-FR"/>
        </w:rPr>
        <w:t xml:space="preserve">tolerability, pharmacokinetics, and </w:t>
      </w:r>
      <w:r w:rsidR="00E732D0" w:rsidRPr="00E732D0">
        <w:rPr>
          <w:rFonts w:eastAsia="Times New Roman" w:cstheme="minorHAnsi"/>
          <w:lang w:val="en-GB" w:eastAsia="fr-FR"/>
        </w:rPr>
        <w:t>antitumour activity of</w:t>
      </w:r>
      <w:r w:rsidR="00E732D0">
        <w:rPr>
          <w:rFonts w:eastAsia="Times New Roman" w:cstheme="minorHAnsi"/>
          <w:lang w:val="en-GB" w:eastAsia="fr-FR"/>
        </w:rPr>
        <w:t xml:space="preserve"> durvalumab in combination with </w:t>
      </w:r>
      <w:r w:rsidR="00E732D0" w:rsidRPr="00E732D0">
        <w:rPr>
          <w:rFonts w:eastAsia="Times New Roman" w:cstheme="minorHAnsi"/>
          <w:lang w:val="en-GB" w:eastAsia="fr-FR"/>
        </w:rPr>
        <w:t>olaparib in patients</w:t>
      </w:r>
      <w:r w:rsidR="00E732D0">
        <w:rPr>
          <w:rFonts w:eastAsia="Times New Roman" w:cstheme="minorHAnsi"/>
          <w:lang w:val="en-GB" w:eastAsia="fr-FR"/>
        </w:rPr>
        <w:t xml:space="preserve"> with advanced solid tumours in </w:t>
      </w:r>
      <w:r w:rsidR="00E732D0" w:rsidRPr="00E732D0">
        <w:rPr>
          <w:rFonts w:eastAsia="Times New Roman" w:cstheme="minorHAnsi"/>
          <w:lang w:val="en-GB" w:eastAsia="fr-FR"/>
        </w:rPr>
        <w:t>four patient cohorts:</w:t>
      </w:r>
      <w:r w:rsidRPr="00937576">
        <w:rPr>
          <w:rFonts w:eastAsia="Times New Roman" w:cstheme="minorHAnsi"/>
          <w:lang w:val="en-GB" w:eastAsia="fr-FR"/>
        </w:rPr>
        <w:t xml:space="preserve"> breast cancer associated with germline </w:t>
      </w:r>
      <w:r w:rsidRPr="00937576">
        <w:rPr>
          <w:rFonts w:eastAsia="Times New Roman" w:cstheme="minorHAnsi"/>
          <w:i/>
          <w:iCs/>
          <w:lang w:val="en-GB" w:eastAsia="fr-FR"/>
        </w:rPr>
        <w:t>BRCA1</w:t>
      </w:r>
      <w:r w:rsidRPr="00937576">
        <w:rPr>
          <w:rFonts w:eastAsia="Times New Roman" w:cstheme="minorHAnsi"/>
          <w:lang w:val="en-GB" w:eastAsia="fr-FR"/>
        </w:rPr>
        <w:t> and </w:t>
      </w:r>
      <w:r w:rsidRPr="00937576">
        <w:rPr>
          <w:rFonts w:eastAsia="Times New Roman" w:cstheme="minorHAnsi"/>
          <w:i/>
          <w:iCs/>
          <w:lang w:val="en-GB" w:eastAsia="fr-FR"/>
        </w:rPr>
        <w:t>BRCA2</w:t>
      </w:r>
      <w:r w:rsidRPr="00937576">
        <w:rPr>
          <w:rFonts w:eastAsia="Times New Roman" w:cstheme="minorHAnsi"/>
          <w:lang w:val="en-GB" w:eastAsia="fr-FR"/>
        </w:rPr>
        <w:t> mutations, ovarian cancer associated with germline </w:t>
      </w:r>
      <w:r w:rsidRPr="00937576">
        <w:rPr>
          <w:rFonts w:eastAsia="Times New Roman" w:cstheme="minorHAnsi"/>
          <w:i/>
          <w:iCs/>
          <w:lang w:val="en-GB" w:eastAsia="fr-FR"/>
        </w:rPr>
        <w:t>BRCA1</w:t>
      </w:r>
      <w:r w:rsidRPr="00937576">
        <w:rPr>
          <w:rFonts w:eastAsia="Times New Roman" w:cstheme="minorHAnsi"/>
          <w:lang w:val="en-GB" w:eastAsia="fr-FR"/>
        </w:rPr>
        <w:t> and </w:t>
      </w:r>
      <w:r w:rsidRPr="00937576">
        <w:rPr>
          <w:rFonts w:eastAsia="Times New Roman" w:cstheme="minorHAnsi"/>
          <w:i/>
          <w:iCs/>
          <w:lang w:val="en-GB" w:eastAsia="fr-FR"/>
        </w:rPr>
        <w:t>BRCA2</w:t>
      </w:r>
      <w:r w:rsidRPr="00937576">
        <w:rPr>
          <w:rFonts w:eastAsia="Times New Roman" w:cstheme="minorHAnsi"/>
          <w:lang w:val="en-GB" w:eastAsia="fr-FR"/>
        </w:rPr>
        <w:t xml:space="preserve"> mutation, gastric cancer, and relapsed small-cell lung cancer. Results from the other cohorts have been reported previously. </w:t>
      </w:r>
      <w:r w:rsidRPr="00937576">
        <w:rPr>
          <w:rFonts w:eastAsia="Times New Roman" w:cstheme="minorHAnsi"/>
          <w:b/>
          <w:lang w:val="en-GB" w:eastAsia="fr-FR"/>
        </w:rPr>
        <w:t>Here, we present the breast cohort.</w:t>
      </w:r>
    </w:p>
    <w:p w:rsidR="00685B2E" w:rsidRPr="00937576" w:rsidRDefault="00685B2E" w:rsidP="00050447">
      <w:pPr>
        <w:shd w:val="clear" w:color="auto" w:fill="FFFFFF"/>
        <w:spacing w:after="240" w:line="240" w:lineRule="auto"/>
        <w:ind w:right="-709"/>
        <w:jc w:val="both"/>
        <w:rPr>
          <w:rFonts w:eastAsia="Times New Roman" w:cstheme="minorHAnsi"/>
          <w:lang w:val="en-GB" w:eastAsia="fr-FR"/>
        </w:rPr>
      </w:pPr>
      <w:r w:rsidRPr="00937576">
        <w:rPr>
          <w:rFonts w:eastAsia="Times New Roman" w:cstheme="minorHAnsi"/>
          <w:lang w:val="en-GB" w:eastAsia="fr-FR"/>
        </w:rPr>
        <w:t>Eligible patients were aged 18 years or older, had a deleterious germline </w:t>
      </w:r>
      <w:r w:rsidRPr="00937576">
        <w:rPr>
          <w:rFonts w:eastAsia="Times New Roman" w:cstheme="minorHAnsi"/>
          <w:i/>
          <w:iCs/>
          <w:lang w:val="en-GB" w:eastAsia="fr-FR"/>
        </w:rPr>
        <w:t>BRCA1</w:t>
      </w:r>
      <w:r w:rsidRPr="00937576">
        <w:rPr>
          <w:rFonts w:eastAsia="Times New Roman" w:cstheme="minorHAnsi"/>
          <w:lang w:val="en-GB" w:eastAsia="fr-FR"/>
        </w:rPr>
        <w:t> or </w:t>
      </w:r>
      <w:r w:rsidRPr="00937576">
        <w:rPr>
          <w:rFonts w:eastAsia="Times New Roman" w:cstheme="minorHAnsi"/>
          <w:i/>
          <w:iCs/>
          <w:lang w:val="en-GB" w:eastAsia="fr-FR"/>
        </w:rPr>
        <w:t>BRCA2</w:t>
      </w:r>
      <w:r w:rsidRPr="00937576">
        <w:rPr>
          <w:rFonts w:eastAsia="Times New Roman" w:cstheme="minorHAnsi"/>
          <w:lang w:val="en-GB" w:eastAsia="fr-FR"/>
        </w:rPr>
        <w:t> mutation (locally or centrally determined) with histological confirmation, had progressive, locally advanced, or metastatic, HER2-negative breast cancer, and had either triple negative metastatic breast cancer or were hormone-receptor positive.</w:t>
      </w:r>
    </w:p>
    <w:p w:rsidR="00685B2E" w:rsidRPr="00937576" w:rsidRDefault="00685B2E" w:rsidP="00050447">
      <w:pPr>
        <w:shd w:val="clear" w:color="auto" w:fill="FFFFFF"/>
        <w:spacing w:after="240" w:line="240" w:lineRule="auto"/>
        <w:ind w:right="-709"/>
        <w:jc w:val="both"/>
        <w:rPr>
          <w:rFonts w:eastAsia="Times New Roman" w:cstheme="minorHAnsi"/>
          <w:lang w:val="en-GB" w:eastAsia="fr-FR"/>
        </w:rPr>
      </w:pPr>
      <w:r w:rsidRPr="00937576">
        <w:rPr>
          <w:rFonts w:eastAsia="Times New Roman" w:cstheme="minorHAnsi"/>
          <w:lang w:val="en-GB" w:eastAsia="fr-FR"/>
        </w:rPr>
        <w:t>…. Other inclusion criteria included Eastern Cooperative Oncology Group performance status 0–1, life expectancy 12 weeks or longer, and normal baseline organ and bone marrow function. Patients could not have received more than two previous lines of cytotoxic chemotherapy for metastatic breast cancer. …</w:t>
      </w:r>
    </w:p>
    <w:p w:rsidR="00685B2E" w:rsidRPr="00050447" w:rsidRDefault="00685B2E" w:rsidP="00050447">
      <w:pPr>
        <w:shd w:val="clear" w:color="auto" w:fill="FFFFFF"/>
        <w:spacing w:after="120" w:line="240" w:lineRule="auto"/>
        <w:ind w:right="-709"/>
        <w:jc w:val="both"/>
        <w:outlineLvl w:val="1"/>
        <w:rPr>
          <w:rFonts w:eastAsia="Times New Roman" w:cstheme="minorHAnsi"/>
          <w:u w:val="single"/>
          <w:lang w:val="en-GB" w:eastAsia="fr-FR"/>
        </w:rPr>
      </w:pPr>
      <w:r w:rsidRPr="00050447">
        <w:rPr>
          <w:rFonts w:eastAsia="Times New Roman" w:cstheme="minorHAnsi"/>
          <w:u w:val="single"/>
          <w:lang w:val="en-GB" w:eastAsia="fr-FR"/>
        </w:rPr>
        <w:t>Procedures</w:t>
      </w:r>
    </w:p>
    <w:p w:rsidR="00685B2E" w:rsidRPr="00937576" w:rsidRDefault="00685B2E" w:rsidP="00050447">
      <w:pPr>
        <w:shd w:val="clear" w:color="auto" w:fill="FFFFFF"/>
        <w:spacing w:after="240" w:line="240" w:lineRule="auto"/>
        <w:ind w:right="-709"/>
        <w:jc w:val="both"/>
        <w:rPr>
          <w:rFonts w:eastAsia="Times New Roman" w:cstheme="minorHAnsi"/>
          <w:lang w:val="en-GB" w:eastAsia="fr-FR"/>
        </w:rPr>
      </w:pPr>
      <w:r w:rsidRPr="00937576">
        <w:rPr>
          <w:rFonts w:eastAsia="Times New Roman" w:cstheme="minorHAnsi"/>
          <w:lang w:val="en-GB" w:eastAsia="fr-FR"/>
        </w:rPr>
        <w:t xml:space="preserve">Patients received olaparib monotherapy 300 mg in tablet form orally twice daily for the first 4 weeks, and then a combination of olaparib 300 </w:t>
      </w:r>
      <w:r w:rsidR="00050447">
        <w:rPr>
          <w:rFonts w:eastAsia="Times New Roman" w:cstheme="minorHAnsi"/>
          <w:lang w:val="en-GB" w:eastAsia="fr-FR"/>
        </w:rPr>
        <w:t>mg twice daily and durvalumab 1.</w:t>
      </w:r>
      <w:r w:rsidRPr="00937576">
        <w:rPr>
          <w:rFonts w:eastAsia="Times New Roman" w:cstheme="minorHAnsi"/>
          <w:lang w:val="en-GB" w:eastAsia="fr-FR"/>
        </w:rPr>
        <w:t>5 g intravenously was administered every 4 weeks (28-day cycle) until disease progression or intolerable toxicity.</w:t>
      </w:r>
      <w:r w:rsidR="0059405C">
        <w:rPr>
          <w:rFonts w:eastAsia="Times New Roman" w:cstheme="minorHAnsi"/>
          <w:lang w:val="en-GB" w:eastAsia="fr-FR"/>
        </w:rPr>
        <w:t xml:space="preserve"> The fixed durvalumab dose of 1.</w:t>
      </w:r>
      <w:r w:rsidRPr="00937576">
        <w:rPr>
          <w:rFonts w:eastAsia="Times New Roman" w:cstheme="minorHAnsi"/>
          <w:lang w:val="en-GB" w:eastAsia="fr-FR"/>
        </w:rPr>
        <w:t>5 g every 4 weeks is equivalent in exposure to weight-based dosing (10 mg/kg every 2 weeks), but with greater ease of use. This dose was the recommended phase 2 dose determined in a phase 1 dose-escalation study of the combination. </w:t>
      </w:r>
      <w:r w:rsidRPr="00937576">
        <w:rPr>
          <w:rFonts w:eastAsia="Times New Roman" w:cstheme="minorHAnsi"/>
          <w:vertAlign w:val="superscript"/>
          <w:lang w:val="en-GB" w:eastAsia="fr-FR"/>
        </w:rPr>
        <w:t>12</w:t>
      </w:r>
      <w:r w:rsidRPr="00937576">
        <w:rPr>
          <w:rFonts w:eastAsia="Times New Roman" w:cstheme="minorHAnsi"/>
          <w:lang w:val="en-GB" w:eastAsia="fr-FR"/>
        </w:rPr>
        <w:t> Patients were able to withdraw from the study at any time. …</w:t>
      </w:r>
    </w:p>
    <w:p w:rsidR="00685B2E" w:rsidRPr="00937576" w:rsidRDefault="00685B2E" w:rsidP="00050447">
      <w:pPr>
        <w:shd w:val="clear" w:color="auto" w:fill="FFFFFF"/>
        <w:spacing w:after="240" w:line="240" w:lineRule="auto"/>
        <w:ind w:right="-709"/>
        <w:jc w:val="both"/>
        <w:rPr>
          <w:rFonts w:eastAsia="Times New Roman" w:cstheme="minorHAnsi"/>
          <w:lang w:val="en-GB" w:eastAsia="fr-FR"/>
        </w:rPr>
      </w:pPr>
      <w:r w:rsidRPr="00937576">
        <w:rPr>
          <w:rFonts w:eastAsia="Times New Roman" w:cstheme="minorHAnsi"/>
          <w:lang w:val="en-GB" w:eastAsia="fr-FR"/>
        </w:rPr>
        <w:t>Tumours were assessed by investigator review of CT or MRI at baseline, 4 weeks after starting olaparib, and every 8 weeks thereafter using Response Evaluation Criteria in Solid Tumors (RECIST; version 1.1). Safety and tolerability were assessed by recording adverse events and serious adverse events as graded by Common Terminology Criteria for Adverse Events (version 4.03) and by documenting dose interruptions or reductions and treatment discontinuations. Safety assessments comprised measurements of haematology and clinical chemistry (on days 1, 8, 15, 22, and 29; then every 2 weeks until week 9; and then every 4 weeks thereafter).</w:t>
      </w:r>
    </w:p>
    <w:p w:rsidR="00685B2E" w:rsidRPr="00937576" w:rsidRDefault="00685B2E" w:rsidP="00050447">
      <w:pPr>
        <w:shd w:val="clear" w:color="auto" w:fill="FFFFFF"/>
        <w:spacing w:after="240" w:line="240" w:lineRule="auto"/>
        <w:ind w:right="-709"/>
        <w:jc w:val="both"/>
        <w:rPr>
          <w:rFonts w:eastAsia="Times New Roman" w:cstheme="minorHAnsi"/>
          <w:lang w:val="en-GB" w:eastAsia="fr-FR"/>
        </w:rPr>
      </w:pPr>
      <w:r w:rsidRPr="00937576">
        <w:rPr>
          <w:rFonts w:eastAsia="Times New Roman" w:cstheme="minorHAnsi"/>
          <w:lang w:val="en-GB" w:eastAsia="fr-FR"/>
        </w:rPr>
        <w:t xml:space="preserve">For the biomarker analysis, archival tumour tissue was collected for all patients. Analysis of tumour cell and immune cell (PD-L1) expression was done using the VENTANA PD-L1 (SP263) assay (Roche, Basel, Switzerland) and quantified by a pathologist. PD-L1 tumour cell and immune cell cutoffs for positivity were set at 1% or </w:t>
      </w:r>
      <w:r w:rsidRPr="00937576">
        <w:rPr>
          <w:rFonts w:eastAsia="Times New Roman" w:cstheme="minorHAnsi"/>
          <w:lang w:val="en-GB" w:eastAsia="fr-FR"/>
        </w:rPr>
        <w:lastRenderedPageBreak/>
        <w:t>higher. …. For this study, tumour mutational burden was assessed by Foundation Medicine (Cambridge, MA, USA) using methods previously described. …</w:t>
      </w:r>
    </w:p>
    <w:p w:rsidR="00685B2E" w:rsidRPr="00050447" w:rsidRDefault="00685B2E" w:rsidP="00050447">
      <w:pPr>
        <w:shd w:val="clear" w:color="auto" w:fill="FFFFFF"/>
        <w:spacing w:after="120" w:line="240" w:lineRule="auto"/>
        <w:ind w:right="-709"/>
        <w:jc w:val="both"/>
        <w:outlineLvl w:val="1"/>
        <w:rPr>
          <w:rFonts w:eastAsia="Times New Roman" w:cstheme="minorHAnsi"/>
          <w:u w:val="single"/>
          <w:lang w:val="en-GB" w:eastAsia="fr-FR"/>
        </w:rPr>
      </w:pPr>
      <w:r w:rsidRPr="00050447">
        <w:rPr>
          <w:rFonts w:eastAsia="Times New Roman" w:cstheme="minorHAnsi"/>
          <w:u w:val="single"/>
          <w:lang w:val="en-GB" w:eastAsia="fr-FR"/>
        </w:rPr>
        <w:t>Outcomes</w:t>
      </w:r>
    </w:p>
    <w:p w:rsidR="00685B2E" w:rsidRPr="00937576" w:rsidRDefault="00685B2E" w:rsidP="00050447">
      <w:pPr>
        <w:shd w:val="clear" w:color="auto" w:fill="FFFFFF"/>
        <w:spacing w:after="240" w:line="240" w:lineRule="auto"/>
        <w:ind w:right="-709"/>
        <w:jc w:val="both"/>
        <w:rPr>
          <w:rFonts w:eastAsia="Times New Roman" w:cstheme="minorHAnsi"/>
          <w:lang w:val="en-GB" w:eastAsia="fr-FR"/>
        </w:rPr>
      </w:pPr>
      <w:r w:rsidRPr="00937576">
        <w:rPr>
          <w:rFonts w:eastAsia="Times New Roman" w:cstheme="minorHAnsi"/>
          <w:lang w:val="en-GB" w:eastAsia="fr-FR"/>
        </w:rPr>
        <w:t>The primary efficacy endpoint was disease control rate at 12 weeks, defined as the percentage of patients who had at least one complete or partial response in the first 12 weeks or stable disease that was maintained until RECIST 1.1 assessment at 12 weeks. Safety and tolerability were primary safety endpoints. Efficacy endpoints included disease control rate at 28 weeks, objective response rate, duration of response, progression-free survival, percentage change from baseline in tumour size at 12 and 28 weeks, best percentage change from baseline in tumour size, time to study treatment discontinuation or death, and overall survival.</w:t>
      </w:r>
    </w:p>
    <w:p w:rsidR="00685B2E" w:rsidRPr="00937576" w:rsidRDefault="00685B2E" w:rsidP="00050447">
      <w:pPr>
        <w:shd w:val="clear" w:color="auto" w:fill="FFFFFF"/>
        <w:spacing w:after="240" w:line="240" w:lineRule="auto"/>
        <w:ind w:right="-709"/>
        <w:jc w:val="both"/>
        <w:rPr>
          <w:rFonts w:eastAsia="Times New Roman" w:cstheme="minorHAnsi"/>
          <w:lang w:val="en-GB" w:eastAsia="fr-FR"/>
        </w:rPr>
      </w:pPr>
      <w:r w:rsidRPr="00937576">
        <w:rPr>
          <w:rFonts w:eastAsia="Times New Roman" w:cstheme="minorHAnsi"/>
          <w:lang w:val="en-GB" w:eastAsia="fr-FR"/>
        </w:rPr>
        <w:t>Additional secondary endpoints included serum concentrations of durvalumab and olaparib at steady state during the monotherapy and combination therapy periods …</w:t>
      </w:r>
    </w:p>
    <w:p w:rsidR="00685B2E" w:rsidRPr="00050447" w:rsidRDefault="00685B2E" w:rsidP="00050447">
      <w:pPr>
        <w:shd w:val="clear" w:color="auto" w:fill="FFFFFF"/>
        <w:spacing w:after="120" w:line="240" w:lineRule="auto"/>
        <w:ind w:right="-709"/>
        <w:jc w:val="both"/>
        <w:outlineLvl w:val="1"/>
        <w:rPr>
          <w:rFonts w:eastAsia="Times New Roman" w:cstheme="minorHAnsi"/>
          <w:u w:val="single"/>
          <w:lang w:val="en-GB" w:eastAsia="fr-FR"/>
        </w:rPr>
      </w:pPr>
      <w:r w:rsidRPr="00050447">
        <w:rPr>
          <w:rFonts w:eastAsia="Times New Roman" w:cstheme="minorHAnsi"/>
          <w:u w:val="single"/>
          <w:lang w:val="en-GB" w:eastAsia="fr-FR"/>
        </w:rPr>
        <w:t>Statistical analysis</w:t>
      </w:r>
    </w:p>
    <w:p w:rsidR="00685B2E" w:rsidRPr="00937576" w:rsidRDefault="00685B2E" w:rsidP="00050447">
      <w:pPr>
        <w:shd w:val="clear" w:color="auto" w:fill="FFFFFF"/>
        <w:spacing w:after="240" w:line="240" w:lineRule="auto"/>
        <w:ind w:right="-709"/>
        <w:jc w:val="both"/>
        <w:rPr>
          <w:rFonts w:eastAsia="Times New Roman" w:cstheme="minorHAnsi"/>
          <w:lang w:val="en-GB" w:eastAsia="fr-FR"/>
        </w:rPr>
      </w:pPr>
      <w:r w:rsidRPr="00937576">
        <w:rPr>
          <w:rFonts w:eastAsia="Times New Roman" w:cstheme="minorHAnsi"/>
          <w:lang w:val="en-GB" w:eastAsia="fr-FR"/>
        </w:rPr>
        <w:t>… A disease control rate of 55% or less was considered undesirable. These values resulted in a target sample size of 30 patients, the minimum sample size that result</w:t>
      </w:r>
      <w:r w:rsidR="00620A08">
        <w:rPr>
          <w:rFonts w:eastAsia="Times New Roman" w:cstheme="minorHAnsi"/>
          <w:lang w:val="en-GB" w:eastAsia="fr-FR"/>
        </w:rPr>
        <w:t>s in type I error rates under 0.</w:t>
      </w:r>
      <w:r w:rsidRPr="00937576">
        <w:rPr>
          <w:rFonts w:eastAsia="Times New Roman" w:cstheme="minorHAnsi"/>
          <w:lang w:val="en-GB" w:eastAsia="fr-FR"/>
        </w:rPr>
        <w:t xml:space="preserve">10 </w:t>
      </w:r>
      <w:r w:rsidR="00620A08">
        <w:rPr>
          <w:rFonts w:eastAsia="Times New Roman" w:cstheme="minorHAnsi"/>
          <w:lang w:val="en-GB" w:eastAsia="fr-FR"/>
        </w:rPr>
        <w:t>and type II error rates under 0.</w:t>
      </w:r>
      <w:r w:rsidRPr="00937576">
        <w:rPr>
          <w:rFonts w:eastAsia="Times New Roman" w:cstheme="minorHAnsi"/>
          <w:lang w:val="en-GB" w:eastAsia="fr-FR"/>
        </w:rPr>
        <w:t>20.</w:t>
      </w:r>
    </w:p>
    <w:p w:rsidR="00685B2E" w:rsidRPr="00937576" w:rsidRDefault="00685B2E" w:rsidP="00050447">
      <w:pPr>
        <w:shd w:val="clear" w:color="auto" w:fill="FFFFFF"/>
        <w:spacing w:after="240" w:line="240" w:lineRule="auto"/>
        <w:ind w:right="-709"/>
        <w:jc w:val="both"/>
        <w:rPr>
          <w:rFonts w:eastAsia="Times New Roman" w:cstheme="minorHAnsi"/>
          <w:lang w:val="en-GB" w:eastAsia="fr-FR"/>
        </w:rPr>
      </w:pPr>
      <w:r w:rsidRPr="00937576">
        <w:rPr>
          <w:rFonts w:eastAsia="Times New Roman" w:cstheme="minorHAnsi"/>
          <w:lang w:val="en-GB" w:eastAsia="fr-FR"/>
        </w:rPr>
        <w:t xml:space="preserve">… Kaplan-Meier methods were used to generate time-to-event curves and calculate medians (95% CIs) and IQRs for time to treatment discontinuation or death, overall survival, progression-free survival, and duration of response. 95% CIs for objective response rate and 90% CIs for disease control rate were calculated using exact </w:t>
      </w:r>
    </w:p>
    <w:p w:rsidR="00685B2E" w:rsidRPr="00937576" w:rsidRDefault="00685B2E" w:rsidP="00050447">
      <w:pPr>
        <w:shd w:val="clear" w:color="auto" w:fill="FFFFFF"/>
        <w:spacing w:after="120" w:line="240" w:lineRule="auto"/>
        <w:ind w:right="-709"/>
        <w:jc w:val="both"/>
        <w:outlineLvl w:val="1"/>
        <w:rPr>
          <w:rFonts w:eastAsia="Times New Roman" w:cstheme="minorHAnsi"/>
          <w:b/>
          <w:lang w:val="en-GB" w:eastAsia="fr-FR"/>
        </w:rPr>
      </w:pPr>
      <w:r w:rsidRPr="00937576">
        <w:rPr>
          <w:rFonts w:eastAsia="Times New Roman" w:cstheme="minorHAnsi"/>
          <w:b/>
          <w:lang w:val="en-GB" w:eastAsia="fr-FR"/>
        </w:rPr>
        <w:t>Results</w:t>
      </w:r>
    </w:p>
    <w:p w:rsidR="00685B2E" w:rsidRPr="00937576" w:rsidRDefault="00685B2E" w:rsidP="00050447">
      <w:pPr>
        <w:shd w:val="clear" w:color="auto" w:fill="FFFFFF"/>
        <w:spacing w:after="240" w:line="240" w:lineRule="auto"/>
        <w:ind w:right="-709"/>
        <w:jc w:val="both"/>
        <w:rPr>
          <w:rFonts w:eastAsia="Times New Roman" w:cstheme="minorHAnsi"/>
          <w:lang w:val="en-GB" w:eastAsia="fr-FR"/>
        </w:rPr>
      </w:pPr>
      <w:r w:rsidRPr="00937576">
        <w:rPr>
          <w:rFonts w:eastAsia="Times New Roman" w:cstheme="minorHAnsi"/>
          <w:lang w:val="en-GB" w:eastAsia="fr-FR"/>
        </w:rPr>
        <w:t>Between June 14, 2016 and May 2, 2017, 34 patients were enrolled and received study treatment. Four patients were excluded from the activity analyses because they did not fulfil the predefined eligibility criteria (three patients had received more than two previous lines of chemotherapy for metastatic breast cancer and one had non-measurable bone-only disease); therefore, the full-analy</w:t>
      </w:r>
      <w:r w:rsidR="00620A08">
        <w:rPr>
          <w:rFonts w:eastAsia="Times New Roman" w:cstheme="minorHAnsi"/>
          <w:lang w:val="en-GB" w:eastAsia="fr-FR"/>
        </w:rPr>
        <w:t>sis set comprised 30 patients</w:t>
      </w:r>
      <w:r w:rsidRPr="00937576">
        <w:rPr>
          <w:rFonts w:eastAsia="Times New Roman" w:cstheme="minorHAnsi"/>
          <w:lang w:val="en-GB" w:eastAsia="fr-FR"/>
        </w:rPr>
        <w:t>. Baseline characteristics are shown in </w:t>
      </w:r>
      <w:hyperlink r:id="rId9" w:history="1">
        <w:r w:rsidRPr="00937576">
          <w:rPr>
            <w:rFonts w:eastAsia="Times New Roman" w:cstheme="minorHAnsi"/>
            <w:u w:val="single"/>
            <w:lang w:val="en-GB" w:eastAsia="fr-FR"/>
          </w:rPr>
          <w:t>table 1</w:t>
        </w:r>
      </w:hyperlink>
      <w:r w:rsidRPr="00937576">
        <w:rPr>
          <w:rFonts w:eastAsia="Times New Roman" w:cstheme="minorHAnsi"/>
          <w:lang w:val="en-GB" w:eastAsia="fr-FR"/>
        </w:rPr>
        <w:t> .</w:t>
      </w:r>
    </w:p>
    <w:p w:rsidR="00685B2E" w:rsidRPr="00937576" w:rsidRDefault="00685B2E" w:rsidP="00050447">
      <w:pPr>
        <w:shd w:val="clear" w:color="auto" w:fill="FFFFFF"/>
        <w:spacing w:after="0" w:line="240" w:lineRule="auto"/>
        <w:ind w:right="-709"/>
        <w:jc w:val="both"/>
        <w:rPr>
          <w:rFonts w:eastAsia="Times New Roman" w:cstheme="minorHAnsi"/>
          <w:lang w:eastAsia="fr-FR"/>
        </w:rPr>
      </w:pPr>
      <w:r w:rsidRPr="00937576">
        <w:rPr>
          <w:rFonts w:eastAsia="Times New Roman" w:cstheme="minorHAnsi"/>
          <w:lang w:eastAsia="fr-FR"/>
        </w:rPr>
        <w:t>Table 1</w:t>
      </w:r>
    </w:p>
    <w:p w:rsidR="00685B2E" w:rsidRPr="00937576" w:rsidRDefault="00685B2E" w:rsidP="00050447">
      <w:pPr>
        <w:shd w:val="clear" w:color="auto" w:fill="FFFFFF"/>
        <w:spacing w:after="0" w:line="240" w:lineRule="auto"/>
        <w:ind w:right="-709"/>
        <w:jc w:val="both"/>
        <w:rPr>
          <w:rFonts w:eastAsia="Times New Roman" w:cstheme="minorHAnsi"/>
          <w:lang w:eastAsia="fr-FR"/>
        </w:rPr>
      </w:pPr>
      <w:r w:rsidRPr="00937576">
        <w:rPr>
          <w:rFonts w:eastAsia="Times New Roman" w:cstheme="minorHAnsi"/>
          <w:lang w:eastAsia="fr-FR"/>
        </w:rPr>
        <w:t>Baseline characteristics</w:t>
      </w:r>
    </w:p>
    <w:tbl>
      <w:tblPr>
        <w:tblW w:w="8044" w:type="dxa"/>
        <w:tblBorders>
          <w:top w:val="single" w:sz="6" w:space="0" w:color="DCDCDC"/>
          <w:bottom w:val="single" w:sz="6" w:space="0" w:color="DCDCDC"/>
          <w:right w:val="single" w:sz="6" w:space="0" w:color="DCDCDC"/>
        </w:tblBorders>
        <w:tblCellMar>
          <w:top w:w="15" w:type="dxa"/>
          <w:left w:w="15" w:type="dxa"/>
          <w:bottom w:w="15" w:type="dxa"/>
          <w:right w:w="15" w:type="dxa"/>
        </w:tblCellMar>
        <w:tblLook w:val="04A0" w:firstRow="1" w:lastRow="0" w:firstColumn="1" w:lastColumn="0" w:noHBand="0" w:noVBand="1"/>
      </w:tblPr>
      <w:tblGrid>
        <w:gridCol w:w="202"/>
        <w:gridCol w:w="6019"/>
        <w:gridCol w:w="1823"/>
      </w:tblGrid>
      <w:tr w:rsidR="00685B2E" w:rsidRPr="00937576" w:rsidTr="009B4208">
        <w:trPr>
          <w:trHeight w:val="228"/>
          <w:tblHeader/>
        </w:trPr>
        <w:tc>
          <w:tcPr>
            <w:tcW w:w="0" w:type="auto"/>
            <w:tcBorders>
              <w:top w:val="single" w:sz="6" w:space="0" w:color="DCDCDC"/>
              <w:left w:val="nil"/>
              <w:bottom w:val="single" w:sz="6" w:space="0" w:color="DCDCDC"/>
              <w:right w:val="single" w:sz="6" w:space="0" w:color="DCDCDC"/>
            </w:tcBorders>
            <w:shd w:val="clear" w:color="auto" w:fill="EBEBEB"/>
            <w:tcMar>
              <w:top w:w="75" w:type="dxa"/>
              <w:left w:w="75" w:type="dxa"/>
              <w:bottom w:w="75" w:type="dxa"/>
              <w:right w:w="75" w:type="dxa"/>
            </w:tcMar>
            <w:hideMark/>
          </w:tcPr>
          <w:p w:rsidR="00685B2E" w:rsidRPr="00937576" w:rsidRDefault="00685B2E" w:rsidP="00050447">
            <w:pPr>
              <w:shd w:val="clear" w:color="auto" w:fill="FFFFFF"/>
              <w:spacing w:after="0" w:line="240" w:lineRule="auto"/>
              <w:ind w:right="-709"/>
              <w:jc w:val="both"/>
              <w:rPr>
                <w:rFonts w:eastAsia="Times New Roman" w:cstheme="minorHAnsi"/>
                <w:sz w:val="20"/>
                <w:szCs w:val="20"/>
                <w:lang w:eastAsia="fr-FR"/>
              </w:rPr>
            </w:pPr>
          </w:p>
        </w:tc>
        <w:tc>
          <w:tcPr>
            <w:tcW w:w="0" w:type="auto"/>
            <w:tcBorders>
              <w:top w:val="single" w:sz="6" w:space="0" w:color="DCDCDC"/>
              <w:left w:val="single" w:sz="6" w:space="0" w:color="DCDCDC"/>
              <w:bottom w:val="single" w:sz="6" w:space="0" w:color="DCDCDC"/>
              <w:right w:val="single" w:sz="6" w:space="0" w:color="DCDCDC"/>
            </w:tcBorders>
            <w:shd w:val="clear" w:color="auto" w:fill="EBEBEB"/>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p>
        </w:tc>
        <w:tc>
          <w:tcPr>
            <w:tcW w:w="0" w:type="auto"/>
            <w:tcBorders>
              <w:top w:val="single" w:sz="6" w:space="0" w:color="DCDCDC"/>
              <w:left w:val="single" w:sz="6" w:space="0" w:color="DCDCDC"/>
              <w:bottom w:val="single" w:sz="6" w:space="0" w:color="DCDCDC"/>
              <w:right w:val="single" w:sz="6" w:space="0" w:color="DCDCDC"/>
            </w:tcBorders>
            <w:shd w:val="clear" w:color="auto" w:fill="EBEBEB"/>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b/>
                <w:bCs/>
                <w:sz w:val="20"/>
                <w:szCs w:val="20"/>
                <w:lang w:eastAsia="fr-FR"/>
              </w:rPr>
              <w:t>Patients (n=34)</w:t>
            </w:r>
          </w:p>
        </w:tc>
      </w:tr>
      <w:tr w:rsidR="00685B2E" w:rsidRPr="00937576" w:rsidTr="009B4208">
        <w:trPr>
          <w:trHeight w:val="242"/>
        </w:trPr>
        <w:tc>
          <w:tcPr>
            <w:tcW w:w="0" w:type="auto"/>
            <w:gridSpan w:val="2"/>
            <w:tcBorders>
              <w:top w:val="single" w:sz="6" w:space="0" w:color="DCDCDC"/>
              <w:left w:val="nil"/>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Age, years</w:t>
            </w:r>
          </w:p>
        </w:tc>
        <w:tc>
          <w:tcPr>
            <w:tcW w:w="0" w:type="auto"/>
            <w:tcBorders>
              <w:top w:val="single" w:sz="6" w:space="0" w:color="DCDCDC"/>
              <w:left w:val="single" w:sz="6" w:space="0" w:color="DCDCDC"/>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46 (37–52)</w:t>
            </w:r>
          </w:p>
        </w:tc>
      </w:tr>
      <w:tr w:rsidR="00685B2E" w:rsidRPr="00937576" w:rsidTr="009B4208">
        <w:trPr>
          <w:trHeight w:val="228"/>
        </w:trPr>
        <w:tc>
          <w:tcPr>
            <w:tcW w:w="0" w:type="auto"/>
            <w:gridSpan w:val="3"/>
            <w:tcBorders>
              <w:top w:val="single" w:sz="6" w:space="0" w:color="DCDCDC"/>
              <w:left w:val="nil"/>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Sex</w:t>
            </w:r>
          </w:p>
        </w:tc>
      </w:tr>
      <w:tr w:rsidR="00685B2E" w:rsidRPr="00937576" w:rsidTr="009B4208">
        <w:trPr>
          <w:trHeight w:val="228"/>
        </w:trPr>
        <w:tc>
          <w:tcPr>
            <w:tcW w:w="0" w:type="auto"/>
            <w:tcBorders>
              <w:top w:val="single" w:sz="6" w:space="0" w:color="DCDCDC"/>
              <w:left w:val="nil"/>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p>
        </w:tc>
        <w:tc>
          <w:tcPr>
            <w:tcW w:w="0" w:type="auto"/>
            <w:tcBorders>
              <w:top w:val="single" w:sz="6" w:space="0" w:color="DCDCDC"/>
              <w:left w:val="single" w:sz="6" w:space="0" w:color="DCDCDC"/>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Female</w:t>
            </w:r>
          </w:p>
        </w:tc>
        <w:tc>
          <w:tcPr>
            <w:tcW w:w="0" w:type="auto"/>
            <w:tcBorders>
              <w:top w:val="single" w:sz="6" w:space="0" w:color="DCDCDC"/>
              <w:left w:val="single" w:sz="6" w:space="0" w:color="DCDCDC"/>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33 (97%)</w:t>
            </w:r>
          </w:p>
        </w:tc>
      </w:tr>
      <w:tr w:rsidR="00685B2E" w:rsidRPr="00937576" w:rsidTr="009B4208">
        <w:trPr>
          <w:trHeight w:val="228"/>
        </w:trPr>
        <w:tc>
          <w:tcPr>
            <w:tcW w:w="0" w:type="auto"/>
            <w:tcBorders>
              <w:top w:val="single" w:sz="6" w:space="0" w:color="DCDCDC"/>
              <w:left w:val="nil"/>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p>
        </w:tc>
        <w:tc>
          <w:tcPr>
            <w:tcW w:w="0" w:type="auto"/>
            <w:tcBorders>
              <w:top w:val="single" w:sz="6" w:space="0" w:color="DCDCDC"/>
              <w:left w:val="single" w:sz="6" w:space="0" w:color="DCDCDC"/>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Male</w:t>
            </w:r>
          </w:p>
        </w:tc>
        <w:tc>
          <w:tcPr>
            <w:tcW w:w="0" w:type="auto"/>
            <w:tcBorders>
              <w:top w:val="single" w:sz="6" w:space="0" w:color="DCDCDC"/>
              <w:left w:val="single" w:sz="6" w:space="0" w:color="DCDCDC"/>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1 (3%)</w:t>
            </w:r>
          </w:p>
        </w:tc>
      </w:tr>
      <w:tr w:rsidR="00685B2E" w:rsidRPr="00937576" w:rsidTr="009B4208">
        <w:trPr>
          <w:trHeight w:val="242"/>
        </w:trPr>
        <w:tc>
          <w:tcPr>
            <w:tcW w:w="0" w:type="auto"/>
            <w:gridSpan w:val="3"/>
            <w:tcBorders>
              <w:top w:val="single" w:sz="6" w:space="0" w:color="DCDCDC"/>
              <w:left w:val="nil"/>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Race</w:t>
            </w:r>
          </w:p>
        </w:tc>
      </w:tr>
      <w:tr w:rsidR="00685B2E" w:rsidRPr="00937576" w:rsidTr="009B4208">
        <w:trPr>
          <w:trHeight w:val="228"/>
        </w:trPr>
        <w:tc>
          <w:tcPr>
            <w:tcW w:w="0" w:type="auto"/>
            <w:tcBorders>
              <w:top w:val="single" w:sz="6" w:space="0" w:color="DCDCDC"/>
              <w:left w:val="nil"/>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p>
        </w:tc>
        <w:tc>
          <w:tcPr>
            <w:tcW w:w="0" w:type="auto"/>
            <w:tcBorders>
              <w:top w:val="single" w:sz="6" w:space="0" w:color="DCDCDC"/>
              <w:left w:val="single" w:sz="6" w:space="0" w:color="DCDCDC"/>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White</w:t>
            </w:r>
          </w:p>
        </w:tc>
        <w:tc>
          <w:tcPr>
            <w:tcW w:w="0" w:type="auto"/>
            <w:tcBorders>
              <w:top w:val="single" w:sz="6" w:space="0" w:color="DCDCDC"/>
              <w:left w:val="single" w:sz="6" w:space="0" w:color="DCDCDC"/>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18 (53%)</w:t>
            </w:r>
          </w:p>
        </w:tc>
      </w:tr>
      <w:tr w:rsidR="00685B2E" w:rsidRPr="00937576" w:rsidTr="009B4208">
        <w:trPr>
          <w:trHeight w:val="228"/>
        </w:trPr>
        <w:tc>
          <w:tcPr>
            <w:tcW w:w="0" w:type="auto"/>
            <w:tcBorders>
              <w:top w:val="single" w:sz="6" w:space="0" w:color="DCDCDC"/>
              <w:left w:val="nil"/>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p>
        </w:tc>
        <w:tc>
          <w:tcPr>
            <w:tcW w:w="0" w:type="auto"/>
            <w:tcBorders>
              <w:top w:val="single" w:sz="6" w:space="0" w:color="DCDCDC"/>
              <w:left w:val="single" w:sz="6" w:space="0" w:color="DCDCDC"/>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Asian</w:t>
            </w:r>
          </w:p>
        </w:tc>
        <w:tc>
          <w:tcPr>
            <w:tcW w:w="0" w:type="auto"/>
            <w:tcBorders>
              <w:top w:val="single" w:sz="6" w:space="0" w:color="DCDCDC"/>
              <w:left w:val="single" w:sz="6" w:space="0" w:color="DCDCDC"/>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7 (21%)</w:t>
            </w:r>
          </w:p>
        </w:tc>
      </w:tr>
      <w:tr w:rsidR="00685B2E" w:rsidRPr="00937576" w:rsidTr="009B4208">
        <w:trPr>
          <w:trHeight w:val="242"/>
        </w:trPr>
        <w:tc>
          <w:tcPr>
            <w:tcW w:w="0" w:type="auto"/>
            <w:tcBorders>
              <w:top w:val="single" w:sz="6" w:space="0" w:color="DCDCDC"/>
              <w:left w:val="nil"/>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p>
        </w:tc>
        <w:tc>
          <w:tcPr>
            <w:tcW w:w="0" w:type="auto"/>
            <w:tcBorders>
              <w:top w:val="single" w:sz="6" w:space="0" w:color="DCDCDC"/>
              <w:left w:val="single" w:sz="6" w:space="0" w:color="DCDCDC"/>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Not available</w:t>
            </w:r>
          </w:p>
        </w:tc>
        <w:tc>
          <w:tcPr>
            <w:tcW w:w="0" w:type="auto"/>
            <w:tcBorders>
              <w:top w:val="single" w:sz="6" w:space="0" w:color="DCDCDC"/>
              <w:left w:val="single" w:sz="6" w:space="0" w:color="DCDCDC"/>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9 (26%)</w:t>
            </w:r>
          </w:p>
        </w:tc>
      </w:tr>
      <w:tr w:rsidR="00685B2E" w:rsidRPr="00937576" w:rsidTr="009B4208">
        <w:trPr>
          <w:trHeight w:val="228"/>
        </w:trPr>
        <w:tc>
          <w:tcPr>
            <w:tcW w:w="0" w:type="auto"/>
            <w:gridSpan w:val="3"/>
            <w:tcBorders>
              <w:top w:val="single" w:sz="6" w:space="0" w:color="DCDCDC"/>
              <w:left w:val="nil"/>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i/>
                <w:iCs/>
                <w:sz w:val="20"/>
                <w:szCs w:val="20"/>
                <w:lang w:eastAsia="fr-FR"/>
              </w:rPr>
              <w:t>BRCA </w:t>
            </w:r>
            <w:r w:rsidRPr="00937576">
              <w:rPr>
                <w:rFonts w:eastAsia="Times New Roman" w:cstheme="minorHAnsi"/>
                <w:sz w:val="20"/>
                <w:szCs w:val="20"/>
                <w:lang w:eastAsia="fr-FR"/>
              </w:rPr>
              <w:t>mutation status</w:t>
            </w:r>
          </w:p>
        </w:tc>
      </w:tr>
      <w:tr w:rsidR="00685B2E" w:rsidRPr="00937576" w:rsidTr="009B4208">
        <w:trPr>
          <w:trHeight w:val="228"/>
        </w:trPr>
        <w:tc>
          <w:tcPr>
            <w:tcW w:w="0" w:type="auto"/>
            <w:tcBorders>
              <w:top w:val="single" w:sz="6" w:space="0" w:color="DCDCDC"/>
              <w:left w:val="nil"/>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p>
        </w:tc>
        <w:tc>
          <w:tcPr>
            <w:tcW w:w="0" w:type="auto"/>
            <w:tcBorders>
              <w:top w:val="single" w:sz="6" w:space="0" w:color="DCDCDC"/>
              <w:left w:val="single" w:sz="6" w:space="0" w:color="DCDCDC"/>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i/>
                <w:iCs/>
                <w:sz w:val="20"/>
                <w:szCs w:val="20"/>
                <w:lang w:eastAsia="fr-FR"/>
              </w:rPr>
              <w:t>BRCA1</w:t>
            </w:r>
          </w:p>
        </w:tc>
        <w:tc>
          <w:tcPr>
            <w:tcW w:w="0" w:type="auto"/>
            <w:tcBorders>
              <w:top w:val="single" w:sz="6" w:space="0" w:color="DCDCDC"/>
              <w:left w:val="single" w:sz="6" w:space="0" w:color="DCDCDC"/>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16 (47%)</w:t>
            </w:r>
          </w:p>
        </w:tc>
      </w:tr>
      <w:tr w:rsidR="00685B2E" w:rsidRPr="00937576" w:rsidTr="009B4208">
        <w:trPr>
          <w:trHeight w:val="228"/>
        </w:trPr>
        <w:tc>
          <w:tcPr>
            <w:tcW w:w="0" w:type="auto"/>
            <w:tcBorders>
              <w:top w:val="single" w:sz="6" w:space="0" w:color="DCDCDC"/>
              <w:left w:val="nil"/>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p>
        </w:tc>
        <w:tc>
          <w:tcPr>
            <w:tcW w:w="0" w:type="auto"/>
            <w:tcBorders>
              <w:top w:val="single" w:sz="6" w:space="0" w:color="DCDCDC"/>
              <w:left w:val="single" w:sz="6" w:space="0" w:color="DCDCDC"/>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i/>
                <w:iCs/>
                <w:sz w:val="20"/>
                <w:szCs w:val="20"/>
                <w:lang w:eastAsia="fr-FR"/>
              </w:rPr>
              <w:t>BRCA2</w:t>
            </w:r>
          </w:p>
        </w:tc>
        <w:tc>
          <w:tcPr>
            <w:tcW w:w="0" w:type="auto"/>
            <w:tcBorders>
              <w:top w:val="single" w:sz="6" w:space="0" w:color="DCDCDC"/>
              <w:left w:val="single" w:sz="6" w:space="0" w:color="DCDCDC"/>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18 (53%)</w:t>
            </w:r>
          </w:p>
        </w:tc>
      </w:tr>
      <w:tr w:rsidR="00685B2E" w:rsidRPr="00937576" w:rsidTr="009B4208">
        <w:trPr>
          <w:trHeight w:val="242"/>
        </w:trPr>
        <w:tc>
          <w:tcPr>
            <w:tcW w:w="0" w:type="auto"/>
            <w:gridSpan w:val="3"/>
            <w:tcBorders>
              <w:top w:val="single" w:sz="6" w:space="0" w:color="DCDCDC"/>
              <w:left w:val="nil"/>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Hormone receptor status</w:t>
            </w:r>
          </w:p>
        </w:tc>
      </w:tr>
      <w:tr w:rsidR="00685B2E" w:rsidRPr="00937576" w:rsidTr="009B4208">
        <w:trPr>
          <w:trHeight w:val="228"/>
        </w:trPr>
        <w:tc>
          <w:tcPr>
            <w:tcW w:w="0" w:type="auto"/>
            <w:tcBorders>
              <w:top w:val="single" w:sz="6" w:space="0" w:color="DCDCDC"/>
              <w:left w:val="nil"/>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p>
        </w:tc>
        <w:tc>
          <w:tcPr>
            <w:tcW w:w="0" w:type="auto"/>
            <w:tcBorders>
              <w:top w:val="single" w:sz="6" w:space="0" w:color="DCDCDC"/>
              <w:left w:val="single" w:sz="6" w:space="0" w:color="DCDCDC"/>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val="en-GB" w:eastAsia="fr-FR"/>
              </w:rPr>
            </w:pPr>
            <w:r w:rsidRPr="00937576">
              <w:rPr>
                <w:rFonts w:eastAsia="Times New Roman" w:cstheme="minorHAnsi"/>
                <w:sz w:val="20"/>
                <w:szCs w:val="20"/>
                <w:lang w:val="en-GB" w:eastAsia="fr-FR"/>
              </w:rPr>
              <w:t>Hormone receptor positive (ER positive or PgR positive)</w:t>
            </w:r>
          </w:p>
        </w:tc>
        <w:tc>
          <w:tcPr>
            <w:tcW w:w="0" w:type="auto"/>
            <w:tcBorders>
              <w:top w:val="single" w:sz="6" w:space="0" w:color="DCDCDC"/>
              <w:left w:val="single" w:sz="6" w:space="0" w:color="DCDCDC"/>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16 (47%)</w:t>
            </w:r>
          </w:p>
        </w:tc>
      </w:tr>
      <w:tr w:rsidR="00685B2E" w:rsidRPr="00937576" w:rsidTr="009B4208">
        <w:trPr>
          <w:trHeight w:val="228"/>
        </w:trPr>
        <w:tc>
          <w:tcPr>
            <w:tcW w:w="0" w:type="auto"/>
            <w:tcBorders>
              <w:top w:val="single" w:sz="6" w:space="0" w:color="DCDCDC"/>
              <w:left w:val="nil"/>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p>
        </w:tc>
        <w:tc>
          <w:tcPr>
            <w:tcW w:w="0" w:type="auto"/>
            <w:tcBorders>
              <w:top w:val="single" w:sz="6" w:space="0" w:color="DCDCDC"/>
              <w:left w:val="single" w:sz="6" w:space="0" w:color="DCDCDC"/>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Triple-negative breast cancer</w:t>
            </w:r>
          </w:p>
        </w:tc>
        <w:tc>
          <w:tcPr>
            <w:tcW w:w="0" w:type="auto"/>
            <w:tcBorders>
              <w:top w:val="single" w:sz="6" w:space="0" w:color="DCDCDC"/>
              <w:left w:val="single" w:sz="6" w:space="0" w:color="DCDCDC"/>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18 (53%)</w:t>
            </w:r>
          </w:p>
        </w:tc>
      </w:tr>
      <w:tr w:rsidR="00685B2E" w:rsidRPr="00937576" w:rsidTr="009B4208">
        <w:trPr>
          <w:trHeight w:val="228"/>
        </w:trPr>
        <w:tc>
          <w:tcPr>
            <w:tcW w:w="0" w:type="auto"/>
            <w:gridSpan w:val="3"/>
            <w:tcBorders>
              <w:top w:val="single" w:sz="6" w:space="0" w:color="DCDCDC"/>
              <w:left w:val="nil"/>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Previous lines of chemotherapy</w:t>
            </w:r>
          </w:p>
        </w:tc>
      </w:tr>
      <w:tr w:rsidR="00685B2E" w:rsidRPr="00937576" w:rsidTr="009B4208">
        <w:trPr>
          <w:trHeight w:val="242"/>
        </w:trPr>
        <w:tc>
          <w:tcPr>
            <w:tcW w:w="0" w:type="auto"/>
            <w:tcBorders>
              <w:top w:val="single" w:sz="6" w:space="0" w:color="DCDCDC"/>
              <w:left w:val="nil"/>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p>
        </w:tc>
        <w:tc>
          <w:tcPr>
            <w:tcW w:w="0" w:type="auto"/>
            <w:tcBorders>
              <w:top w:val="single" w:sz="6" w:space="0" w:color="DCDCDC"/>
              <w:left w:val="single" w:sz="6" w:space="0" w:color="DCDCDC"/>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0</w:t>
            </w:r>
          </w:p>
        </w:tc>
        <w:tc>
          <w:tcPr>
            <w:tcW w:w="0" w:type="auto"/>
            <w:tcBorders>
              <w:top w:val="single" w:sz="6" w:space="0" w:color="DCDCDC"/>
              <w:left w:val="single" w:sz="6" w:space="0" w:color="DCDCDC"/>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9 (26%)</w:t>
            </w:r>
          </w:p>
        </w:tc>
      </w:tr>
      <w:tr w:rsidR="00685B2E" w:rsidRPr="00937576" w:rsidTr="009B4208">
        <w:trPr>
          <w:trHeight w:val="228"/>
        </w:trPr>
        <w:tc>
          <w:tcPr>
            <w:tcW w:w="0" w:type="auto"/>
            <w:tcBorders>
              <w:top w:val="single" w:sz="6" w:space="0" w:color="DCDCDC"/>
              <w:left w:val="nil"/>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p>
        </w:tc>
        <w:tc>
          <w:tcPr>
            <w:tcW w:w="0" w:type="auto"/>
            <w:tcBorders>
              <w:top w:val="single" w:sz="6" w:space="0" w:color="DCDCDC"/>
              <w:left w:val="single" w:sz="6" w:space="0" w:color="DCDCDC"/>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1</w:t>
            </w:r>
          </w:p>
        </w:tc>
        <w:tc>
          <w:tcPr>
            <w:tcW w:w="0" w:type="auto"/>
            <w:tcBorders>
              <w:top w:val="single" w:sz="6" w:space="0" w:color="DCDCDC"/>
              <w:left w:val="single" w:sz="6" w:space="0" w:color="DCDCDC"/>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11 (32%)</w:t>
            </w:r>
          </w:p>
        </w:tc>
      </w:tr>
      <w:tr w:rsidR="00685B2E" w:rsidRPr="00937576" w:rsidTr="009B4208">
        <w:trPr>
          <w:trHeight w:val="228"/>
        </w:trPr>
        <w:tc>
          <w:tcPr>
            <w:tcW w:w="0" w:type="auto"/>
            <w:tcBorders>
              <w:top w:val="single" w:sz="6" w:space="0" w:color="DCDCDC"/>
              <w:left w:val="nil"/>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p>
        </w:tc>
        <w:tc>
          <w:tcPr>
            <w:tcW w:w="0" w:type="auto"/>
            <w:tcBorders>
              <w:top w:val="single" w:sz="6" w:space="0" w:color="DCDCDC"/>
              <w:left w:val="single" w:sz="6" w:space="0" w:color="DCDCDC"/>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2</w:t>
            </w:r>
          </w:p>
        </w:tc>
        <w:tc>
          <w:tcPr>
            <w:tcW w:w="0" w:type="auto"/>
            <w:tcBorders>
              <w:top w:val="single" w:sz="6" w:space="0" w:color="DCDCDC"/>
              <w:left w:val="single" w:sz="6" w:space="0" w:color="DCDCDC"/>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10 (29%)</w:t>
            </w:r>
          </w:p>
        </w:tc>
      </w:tr>
      <w:tr w:rsidR="00685B2E" w:rsidRPr="00937576" w:rsidTr="009B4208">
        <w:trPr>
          <w:trHeight w:val="242"/>
        </w:trPr>
        <w:tc>
          <w:tcPr>
            <w:tcW w:w="0" w:type="auto"/>
            <w:tcBorders>
              <w:top w:val="single" w:sz="6" w:space="0" w:color="DCDCDC"/>
              <w:left w:val="nil"/>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p>
        </w:tc>
        <w:tc>
          <w:tcPr>
            <w:tcW w:w="0" w:type="auto"/>
            <w:tcBorders>
              <w:top w:val="single" w:sz="6" w:space="0" w:color="DCDCDC"/>
              <w:left w:val="single" w:sz="6" w:space="0" w:color="DCDCDC"/>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3</w:t>
            </w:r>
          </w:p>
        </w:tc>
        <w:tc>
          <w:tcPr>
            <w:tcW w:w="0" w:type="auto"/>
            <w:tcBorders>
              <w:top w:val="single" w:sz="6" w:space="0" w:color="DCDCDC"/>
              <w:left w:val="single" w:sz="6" w:space="0" w:color="DCDCDC"/>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2 (6%)</w:t>
            </w:r>
          </w:p>
        </w:tc>
      </w:tr>
      <w:tr w:rsidR="00685B2E" w:rsidRPr="00937576" w:rsidTr="009B4208">
        <w:trPr>
          <w:trHeight w:val="228"/>
        </w:trPr>
        <w:tc>
          <w:tcPr>
            <w:tcW w:w="0" w:type="auto"/>
            <w:tcBorders>
              <w:top w:val="single" w:sz="6" w:space="0" w:color="DCDCDC"/>
              <w:left w:val="nil"/>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p>
        </w:tc>
        <w:tc>
          <w:tcPr>
            <w:tcW w:w="0" w:type="auto"/>
            <w:tcBorders>
              <w:top w:val="single" w:sz="6" w:space="0" w:color="DCDCDC"/>
              <w:left w:val="single" w:sz="6" w:space="0" w:color="DCDCDC"/>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4</w:t>
            </w:r>
          </w:p>
        </w:tc>
        <w:tc>
          <w:tcPr>
            <w:tcW w:w="0" w:type="auto"/>
            <w:tcBorders>
              <w:top w:val="single" w:sz="6" w:space="0" w:color="DCDCDC"/>
              <w:left w:val="single" w:sz="6" w:space="0" w:color="DCDCDC"/>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1 (3%)</w:t>
            </w:r>
          </w:p>
        </w:tc>
      </w:tr>
      <w:tr w:rsidR="00685B2E" w:rsidRPr="00937576" w:rsidTr="009B4208">
        <w:trPr>
          <w:trHeight w:val="228"/>
        </w:trPr>
        <w:tc>
          <w:tcPr>
            <w:tcW w:w="0" w:type="auto"/>
            <w:tcBorders>
              <w:top w:val="single" w:sz="6" w:space="0" w:color="DCDCDC"/>
              <w:left w:val="nil"/>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p>
        </w:tc>
        <w:tc>
          <w:tcPr>
            <w:tcW w:w="0" w:type="auto"/>
            <w:tcBorders>
              <w:top w:val="single" w:sz="6" w:space="0" w:color="DCDCDC"/>
              <w:left w:val="single" w:sz="6" w:space="0" w:color="DCDCDC"/>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Not available</w:t>
            </w:r>
          </w:p>
        </w:tc>
        <w:tc>
          <w:tcPr>
            <w:tcW w:w="0" w:type="auto"/>
            <w:tcBorders>
              <w:top w:val="single" w:sz="6" w:space="0" w:color="DCDCDC"/>
              <w:left w:val="single" w:sz="6" w:space="0" w:color="DCDCDC"/>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1 (3%)</w:t>
            </w:r>
          </w:p>
        </w:tc>
      </w:tr>
      <w:tr w:rsidR="00685B2E" w:rsidRPr="00937576" w:rsidTr="009B4208">
        <w:trPr>
          <w:trHeight w:val="228"/>
        </w:trPr>
        <w:tc>
          <w:tcPr>
            <w:tcW w:w="0" w:type="auto"/>
            <w:gridSpan w:val="2"/>
            <w:tcBorders>
              <w:top w:val="single" w:sz="6" w:space="0" w:color="DCDCDC"/>
              <w:left w:val="nil"/>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Previous platinum therapy</w:t>
            </w:r>
          </w:p>
        </w:tc>
        <w:tc>
          <w:tcPr>
            <w:tcW w:w="0" w:type="auto"/>
            <w:tcBorders>
              <w:top w:val="single" w:sz="6" w:space="0" w:color="DCDCDC"/>
              <w:left w:val="single" w:sz="6" w:space="0" w:color="DCDCDC"/>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13 (38%)</w:t>
            </w:r>
          </w:p>
        </w:tc>
      </w:tr>
      <w:tr w:rsidR="00685B2E" w:rsidRPr="00917EB2" w:rsidTr="009B4208">
        <w:trPr>
          <w:trHeight w:val="242"/>
        </w:trPr>
        <w:tc>
          <w:tcPr>
            <w:tcW w:w="0" w:type="auto"/>
            <w:gridSpan w:val="3"/>
            <w:tcBorders>
              <w:top w:val="single" w:sz="6" w:space="0" w:color="DCDCDC"/>
              <w:left w:val="nil"/>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val="en-GB" w:eastAsia="fr-FR"/>
              </w:rPr>
            </w:pPr>
            <w:r w:rsidRPr="00937576">
              <w:rPr>
                <w:rFonts w:eastAsia="Times New Roman" w:cstheme="minorHAnsi"/>
                <w:sz w:val="20"/>
                <w:szCs w:val="20"/>
                <w:lang w:val="en-GB" w:eastAsia="fr-FR"/>
              </w:rPr>
              <w:t>PD-L1 expression in tumour cells</w:t>
            </w:r>
          </w:p>
        </w:tc>
      </w:tr>
      <w:tr w:rsidR="00685B2E" w:rsidRPr="00937576" w:rsidTr="009B4208">
        <w:trPr>
          <w:trHeight w:val="228"/>
        </w:trPr>
        <w:tc>
          <w:tcPr>
            <w:tcW w:w="0" w:type="auto"/>
            <w:tcBorders>
              <w:top w:val="single" w:sz="6" w:space="0" w:color="DCDCDC"/>
              <w:left w:val="nil"/>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val="en-GB" w:eastAsia="fr-FR"/>
              </w:rPr>
            </w:pPr>
          </w:p>
        </w:tc>
        <w:tc>
          <w:tcPr>
            <w:tcW w:w="0" w:type="auto"/>
            <w:tcBorders>
              <w:top w:val="single" w:sz="6" w:space="0" w:color="DCDCDC"/>
              <w:left w:val="single" w:sz="6" w:space="0" w:color="DCDCDC"/>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Positive (≥1%)</w:t>
            </w:r>
          </w:p>
        </w:tc>
        <w:tc>
          <w:tcPr>
            <w:tcW w:w="0" w:type="auto"/>
            <w:tcBorders>
              <w:top w:val="single" w:sz="6" w:space="0" w:color="DCDCDC"/>
              <w:left w:val="single" w:sz="6" w:space="0" w:color="DCDCDC"/>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10 (29%)</w:t>
            </w:r>
          </w:p>
        </w:tc>
      </w:tr>
      <w:tr w:rsidR="00685B2E" w:rsidRPr="00937576" w:rsidTr="009B4208">
        <w:trPr>
          <w:trHeight w:val="228"/>
        </w:trPr>
        <w:tc>
          <w:tcPr>
            <w:tcW w:w="0" w:type="auto"/>
            <w:tcBorders>
              <w:top w:val="single" w:sz="6" w:space="0" w:color="DCDCDC"/>
              <w:left w:val="nil"/>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p>
        </w:tc>
        <w:tc>
          <w:tcPr>
            <w:tcW w:w="0" w:type="auto"/>
            <w:tcBorders>
              <w:top w:val="single" w:sz="6" w:space="0" w:color="DCDCDC"/>
              <w:left w:val="single" w:sz="6" w:space="0" w:color="DCDCDC"/>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Negative (&lt;1%)</w:t>
            </w:r>
          </w:p>
        </w:tc>
        <w:tc>
          <w:tcPr>
            <w:tcW w:w="0" w:type="auto"/>
            <w:tcBorders>
              <w:top w:val="single" w:sz="6" w:space="0" w:color="DCDCDC"/>
              <w:left w:val="single" w:sz="6" w:space="0" w:color="DCDCDC"/>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21 (62%)</w:t>
            </w:r>
          </w:p>
        </w:tc>
      </w:tr>
      <w:tr w:rsidR="00685B2E" w:rsidRPr="00937576" w:rsidTr="009B4208">
        <w:trPr>
          <w:trHeight w:val="242"/>
        </w:trPr>
        <w:tc>
          <w:tcPr>
            <w:tcW w:w="0" w:type="auto"/>
            <w:tcBorders>
              <w:top w:val="single" w:sz="6" w:space="0" w:color="DCDCDC"/>
              <w:left w:val="nil"/>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p>
        </w:tc>
        <w:tc>
          <w:tcPr>
            <w:tcW w:w="0" w:type="auto"/>
            <w:tcBorders>
              <w:top w:val="single" w:sz="6" w:space="0" w:color="DCDCDC"/>
              <w:left w:val="single" w:sz="6" w:space="0" w:color="DCDCDC"/>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Not available</w:t>
            </w:r>
          </w:p>
        </w:tc>
        <w:tc>
          <w:tcPr>
            <w:tcW w:w="0" w:type="auto"/>
            <w:tcBorders>
              <w:top w:val="single" w:sz="6" w:space="0" w:color="DCDCDC"/>
              <w:left w:val="single" w:sz="6" w:space="0" w:color="DCDCDC"/>
              <w:bottom w:val="single" w:sz="6" w:space="0" w:color="DCDCDC"/>
              <w:right w:val="single" w:sz="6" w:space="0" w:color="DCDCDC"/>
            </w:tcBorders>
            <w:tcMar>
              <w:top w:w="75" w:type="dxa"/>
              <w:left w:w="75" w:type="dxa"/>
              <w:bottom w:w="75" w:type="dxa"/>
              <w:right w:w="75" w:type="dxa"/>
            </w:tcMar>
            <w:hideMark/>
          </w:tcPr>
          <w:p w:rsidR="00685B2E" w:rsidRPr="00937576" w:rsidRDefault="00685B2E" w:rsidP="00050447">
            <w:pPr>
              <w:spacing w:after="0" w:line="240" w:lineRule="auto"/>
              <w:ind w:right="-709"/>
              <w:jc w:val="both"/>
              <w:rPr>
                <w:rFonts w:eastAsia="Times New Roman" w:cstheme="minorHAnsi"/>
                <w:sz w:val="20"/>
                <w:szCs w:val="20"/>
                <w:lang w:eastAsia="fr-FR"/>
              </w:rPr>
            </w:pPr>
            <w:r w:rsidRPr="00937576">
              <w:rPr>
                <w:rFonts w:eastAsia="Times New Roman" w:cstheme="minorHAnsi"/>
                <w:sz w:val="20"/>
                <w:szCs w:val="20"/>
                <w:lang w:eastAsia="fr-FR"/>
              </w:rPr>
              <w:t>3 (9%)</w:t>
            </w:r>
          </w:p>
        </w:tc>
      </w:tr>
    </w:tbl>
    <w:p w:rsidR="00685B2E" w:rsidRPr="00620A08" w:rsidRDefault="00685B2E" w:rsidP="00050447">
      <w:pPr>
        <w:shd w:val="clear" w:color="auto" w:fill="FFFFFF"/>
        <w:spacing w:after="240" w:line="240" w:lineRule="auto"/>
        <w:ind w:right="-709"/>
        <w:jc w:val="both"/>
        <w:rPr>
          <w:rFonts w:eastAsia="Times New Roman" w:cstheme="minorHAnsi"/>
          <w:b/>
          <w:lang w:val="en-GB" w:eastAsia="fr-FR"/>
        </w:rPr>
      </w:pPr>
      <w:r w:rsidRPr="00620A08">
        <w:rPr>
          <w:rFonts w:eastAsia="Times New Roman" w:cstheme="minorHAnsi"/>
          <w:b/>
          <w:lang w:val="en-GB" w:eastAsia="fr-FR"/>
        </w:rPr>
        <w:t>* Collection of these data not permitted in France.</w:t>
      </w:r>
    </w:p>
    <w:p w:rsidR="00685B2E" w:rsidRPr="00937576" w:rsidRDefault="00685B2E" w:rsidP="00050447">
      <w:pPr>
        <w:shd w:val="clear" w:color="auto" w:fill="FFFFFF"/>
        <w:spacing w:after="240" w:line="240" w:lineRule="auto"/>
        <w:ind w:right="-709"/>
        <w:jc w:val="both"/>
        <w:rPr>
          <w:rFonts w:eastAsia="Times New Roman" w:cstheme="minorHAnsi"/>
          <w:lang w:val="en-GB" w:eastAsia="fr-FR"/>
        </w:rPr>
      </w:pPr>
      <w:r w:rsidRPr="00937576">
        <w:rPr>
          <w:rFonts w:eastAsia="Times New Roman" w:cstheme="minorHAnsi"/>
          <w:lang w:val="en-GB" w:eastAsia="fr-FR"/>
        </w:rPr>
        <w:t>… . Immune-mediated adverse events were reported in 12 (35%) of 34 patients …. The most commonly reported durvalumab-related adverse events of special interest were diarrhoea (one [3%]) and hypothyroidism (five [15%]). 19 (56%) deaths occurred during the study, all of which were due to the disease under investigation. There were no treatment-related deaths. …</w:t>
      </w:r>
    </w:p>
    <w:p w:rsidR="00685B2E" w:rsidRPr="00937576" w:rsidRDefault="00685B2E" w:rsidP="00050447">
      <w:pPr>
        <w:shd w:val="clear" w:color="auto" w:fill="FFFFFF"/>
        <w:spacing w:after="240" w:line="240" w:lineRule="auto"/>
        <w:ind w:right="-709"/>
        <w:jc w:val="both"/>
        <w:rPr>
          <w:rFonts w:eastAsia="Times New Roman" w:cstheme="minorHAnsi"/>
          <w:lang w:val="en-GB" w:eastAsia="fr-FR"/>
        </w:rPr>
      </w:pPr>
      <w:r w:rsidRPr="00937576">
        <w:rPr>
          <w:rFonts w:eastAsia="Times New Roman" w:cstheme="minorHAnsi"/>
          <w:bdr w:val="none" w:sz="0" w:space="0" w:color="auto" w:frame="1"/>
          <w:lang w:val="en-GB" w:eastAsia="fr-FR"/>
        </w:rPr>
        <w:t xml:space="preserve">… </w:t>
      </w:r>
      <w:r w:rsidRPr="00937576">
        <w:rPr>
          <w:rFonts w:eastAsia="Times New Roman" w:cstheme="minorHAnsi"/>
          <w:lang w:val="en-GB" w:eastAsia="fr-FR"/>
        </w:rPr>
        <w:t>Plasma concentration–time curves showed good overlap between the profile of olaparib as monotherapy (on day 1 and at steady state on day 22) and the combined therapy period ( </w:t>
      </w:r>
      <w:hyperlink r:id="rId10" w:history="1">
        <w:r w:rsidRPr="00937576">
          <w:rPr>
            <w:rFonts w:eastAsia="Times New Roman" w:cstheme="minorHAnsi"/>
            <w:u w:val="single"/>
            <w:lang w:val="en-GB" w:eastAsia="fr-FR"/>
          </w:rPr>
          <w:t>appendix p 12</w:t>
        </w:r>
      </w:hyperlink>
      <w:r w:rsidRPr="00937576">
        <w:rPr>
          <w:rFonts w:eastAsia="Times New Roman" w:cstheme="minorHAnsi"/>
          <w:lang w:val="en-GB" w:eastAsia="fr-FR"/>
        </w:rPr>
        <w:t xml:space="preserve"> ), suggesting no effect of durvalumab on olaparib exposure. Durvalumab exposure reached steady state at approximately week 16. Durvalumab exposure in combination therapy with olaparib was consistent with that observed in durvalumab monotherapy (data not shown). </w:t>
      </w:r>
      <w:r w:rsidR="00620A08">
        <w:rPr>
          <w:rFonts w:eastAsia="Times New Roman" w:cstheme="minorHAnsi"/>
          <w:lang w:val="en-GB" w:eastAsia="fr-FR"/>
        </w:rPr>
        <w:t>…</w:t>
      </w:r>
    </w:p>
    <w:p w:rsidR="00685B2E" w:rsidRPr="00937576" w:rsidRDefault="00685B2E" w:rsidP="00050447">
      <w:pPr>
        <w:shd w:val="clear" w:color="auto" w:fill="FFFFFF"/>
        <w:spacing w:after="120" w:line="240" w:lineRule="auto"/>
        <w:ind w:right="-709"/>
        <w:jc w:val="both"/>
        <w:outlineLvl w:val="1"/>
        <w:rPr>
          <w:rFonts w:eastAsia="Times New Roman" w:cstheme="minorHAnsi"/>
          <w:b/>
          <w:lang w:val="en-GB" w:eastAsia="fr-FR"/>
        </w:rPr>
      </w:pPr>
      <w:r w:rsidRPr="00937576">
        <w:rPr>
          <w:rFonts w:eastAsia="Times New Roman" w:cstheme="minorHAnsi"/>
          <w:b/>
          <w:lang w:val="en-GB" w:eastAsia="fr-FR"/>
        </w:rPr>
        <w:t>Discussion</w:t>
      </w:r>
    </w:p>
    <w:p w:rsidR="00685B2E" w:rsidRPr="00937576" w:rsidRDefault="00685B2E" w:rsidP="00050447">
      <w:pPr>
        <w:shd w:val="clear" w:color="auto" w:fill="FFFFFF"/>
        <w:spacing w:after="240" w:line="240" w:lineRule="auto"/>
        <w:ind w:right="-709"/>
        <w:jc w:val="both"/>
        <w:rPr>
          <w:rFonts w:eastAsia="Times New Roman" w:cstheme="minorHAnsi"/>
          <w:lang w:val="en-GB" w:eastAsia="fr-FR"/>
        </w:rPr>
      </w:pPr>
      <w:r w:rsidRPr="00937576">
        <w:rPr>
          <w:rFonts w:eastAsia="Times New Roman" w:cstheme="minorHAnsi"/>
          <w:lang w:val="en-GB" w:eastAsia="fr-FR"/>
        </w:rPr>
        <w:t>The MEDIOLA trial tested the hypothesis that olaparib activity could be further enhanced by adding the PD-L1 inhibitor durvalumab without compromising safety. Here, we report the results in a cohort of patients with germline </w:t>
      </w:r>
      <w:r w:rsidRPr="00937576">
        <w:rPr>
          <w:rFonts w:eastAsia="Times New Roman" w:cstheme="minorHAnsi"/>
          <w:i/>
          <w:iCs/>
          <w:lang w:val="en-GB" w:eastAsia="fr-FR"/>
        </w:rPr>
        <w:t>BRCA1</w:t>
      </w:r>
      <w:r w:rsidRPr="00937576">
        <w:rPr>
          <w:rFonts w:eastAsia="Times New Roman" w:cstheme="minorHAnsi"/>
          <w:lang w:val="en-GB" w:eastAsia="fr-FR"/>
        </w:rPr>
        <w:t> -mutated or </w:t>
      </w:r>
      <w:r w:rsidRPr="00937576">
        <w:rPr>
          <w:rFonts w:eastAsia="Times New Roman" w:cstheme="minorHAnsi"/>
          <w:i/>
          <w:iCs/>
          <w:lang w:val="en-GB" w:eastAsia="fr-FR"/>
        </w:rPr>
        <w:t>BRCA2</w:t>
      </w:r>
      <w:r w:rsidRPr="00937576">
        <w:rPr>
          <w:rFonts w:eastAsia="Times New Roman" w:cstheme="minorHAnsi"/>
          <w:lang w:val="en-GB" w:eastAsia="fr-FR"/>
        </w:rPr>
        <w:t> -mutated, HER2-negative metastatic breast cancer. The combination of olaparib and durvalumab was well tolerated over the follow-up period. By contrast with other studies exploring other combinations of PARP inhibitors and immunotherapy, </w:t>
      </w:r>
      <w:r w:rsidRPr="00937576">
        <w:rPr>
          <w:rFonts w:eastAsia="Times New Roman" w:cstheme="minorHAnsi"/>
          <w:vertAlign w:val="superscript"/>
          <w:lang w:val="en-GB" w:eastAsia="fr-FR"/>
        </w:rPr>
        <w:t>11</w:t>
      </w:r>
      <w:r w:rsidRPr="00937576">
        <w:rPr>
          <w:rFonts w:eastAsia="Times New Roman" w:cstheme="minorHAnsi"/>
          <w:lang w:val="en-GB" w:eastAsia="fr-FR"/>
        </w:rPr>
        <w:t> MEDIOLA employed full doses of both drugs, based on a phase 1 study that showed the absence of dose-limiting toxicity in a heavily pretreated population. </w:t>
      </w:r>
      <w:r w:rsidRPr="00937576">
        <w:rPr>
          <w:rFonts w:eastAsia="Times New Roman" w:cstheme="minorHAnsi"/>
          <w:vertAlign w:val="superscript"/>
          <w:lang w:val="en-GB" w:eastAsia="fr-FR"/>
        </w:rPr>
        <w:t>12</w:t>
      </w:r>
      <w:r w:rsidRPr="00937576">
        <w:rPr>
          <w:rFonts w:eastAsia="Times New Roman" w:cstheme="minorHAnsi"/>
          <w:lang w:val="en-GB" w:eastAsia="fr-FR"/>
        </w:rPr>
        <w:t> No new safety signals, including no excess in immune-mediated adverse events, were observed, in line with those previously seen in respective monotherapy studies. …. </w:t>
      </w:r>
      <w:r w:rsidRPr="00937576">
        <w:rPr>
          <w:rFonts w:eastAsia="Times New Roman" w:cstheme="minorHAnsi"/>
          <w:vertAlign w:val="superscript"/>
          <w:lang w:val="en-GB" w:eastAsia="fr-FR"/>
        </w:rPr>
        <w:t>31</w:t>
      </w:r>
    </w:p>
    <w:p w:rsidR="00685B2E" w:rsidRPr="00937576" w:rsidRDefault="00685B2E" w:rsidP="00050447">
      <w:pPr>
        <w:shd w:val="clear" w:color="auto" w:fill="FFFFFF"/>
        <w:spacing w:after="240" w:line="240" w:lineRule="auto"/>
        <w:ind w:right="-709"/>
        <w:jc w:val="both"/>
        <w:rPr>
          <w:rFonts w:eastAsia="Times New Roman" w:cstheme="minorHAnsi"/>
          <w:lang w:val="en-GB" w:eastAsia="fr-FR"/>
        </w:rPr>
      </w:pPr>
      <w:r w:rsidRPr="00937576">
        <w:rPr>
          <w:rFonts w:eastAsia="Times New Roman" w:cstheme="minorHAnsi"/>
          <w:lang w:val="en-GB" w:eastAsia="fr-FR"/>
        </w:rPr>
        <w:t>The observed primary endpoint of 12-week disease control rate of 80% exceeded the prespecified target of 75%; however, this target was based on a phase 2 trial </w:t>
      </w:r>
      <w:r w:rsidRPr="00937576">
        <w:rPr>
          <w:rFonts w:eastAsia="Times New Roman" w:cstheme="minorHAnsi"/>
          <w:vertAlign w:val="superscript"/>
          <w:lang w:val="en-GB" w:eastAsia="fr-FR"/>
        </w:rPr>
        <w:t>24</w:t>
      </w:r>
      <w:r w:rsidRPr="00937576">
        <w:rPr>
          <w:rFonts w:eastAsia="Times New Roman" w:cstheme="minorHAnsi"/>
          <w:lang w:val="en-GB" w:eastAsia="fr-FR"/>
        </w:rPr>
        <w:t> of more heavily pre-treated patients before the OlympiAD results were available…. </w:t>
      </w:r>
      <w:r w:rsidRPr="00937576">
        <w:rPr>
          <w:rFonts w:eastAsia="Times New Roman" w:cstheme="minorHAnsi"/>
          <w:vertAlign w:val="superscript"/>
          <w:lang w:val="en-GB" w:eastAsia="fr-FR"/>
        </w:rPr>
        <w:t>5</w:t>
      </w:r>
      <w:r w:rsidRPr="00937576">
        <w:rPr>
          <w:rFonts w:eastAsia="Times New Roman" w:cstheme="minorHAnsi"/>
          <w:lang w:val="en-GB" w:eastAsia="fr-FR"/>
        </w:rPr>
        <w:t> Although studies have suggested that adding immune checkpoint inhibitors to standard of care can lead to improved clinical outcomes, </w:t>
      </w:r>
      <w:r w:rsidRPr="00937576">
        <w:rPr>
          <w:rFonts w:eastAsia="Times New Roman" w:cstheme="minorHAnsi"/>
          <w:vertAlign w:val="superscript"/>
          <w:lang w:val="en-GB" w:eastAsia="fr-FR"/>
        </w:rPr>
        <w:t>10</w:t>
      </w:r>
      <w:r w:rsidRPr="00937576">
        <w:rPr>
          <w:rFonts w:eastAsia="Times New Roman" w:cstheme="minorHAnsi"/>
          <w:lang w:val="en-GB" w:eastAsia="fr-FR"/>
        </w:rPr>
        <w:t> we were not able to determine this in this study.</w:t>
      </w:r>
    </w:p>
    <w:p w:rsidR="00E732D0" w:rsidRDefault="00E732D0" w:rsidP="00050447">
      <w:pPr>
        <w:shd w:val="clear" w:color="auto" w:fill="FFFFFF"/>
        <w:spacing w:after="240" w:line="240" w:lineRule="auto"/>
        <w:ind w:right="-709"/>
        <w:jc w:val="both"/>
        <w:rPr>
          <w:rFonts w:eastAsia="Times New Roman" w:cstheme="minorHAnsi"/>
          <w:lang w:val="en-GB" w:eastAsia="fr-FR"/>
        </w:rPr>
      </w:pPr>
      <w:r w:rsidRPr="00E732D0">
        <w:rPr>
          <w:rFonts w:eastAsia="Times New Roman" w:cstheme="minorHAnsi"/>
          <w:lang w:val="en-GB" w:eastAsia="fr-FR"/>
        </w:rPr>
        <w:t>Limitations of the MEDI</w:t>
      </w:r>
      <w:r>
        <w:rPr>
          <w:rFonts w:eastAsia="Times New Roman" w:cstheme="minorHAnsi"/>
          <w:lang w:val="en-GB" w:eastAsia="fr-FR"/>
        </w:rPr>
        <w:t xml:space="preserve">OLA study include the fact that </w:t>
      </w:r>
      <w:r w:rsidRPr="00E732D0">
        <w:rPr>
          <w:rFonts w:eastAsia="Times New Roman" w:cstheme="minorHAnsi"/>
          <w:lang w:val="en-GB" w:eastAsia="fr-FR"/>
        </w:rPr>
        <w:t>it is a single-arm, open-l</w:t>
      </w:r>
      <w:r>
        <w:rPr>
          <w:rFonts w:eastAsia="Times New Roman" w:cstheme="minorHAnsi"/>
          <w:lang w:val="en-GB" w:eastAsia="fr-FR"/>
        </w:rPr>
        <w:t xml:space="preserve">abel study with a small patient </w:t>
      </w:r>
      <w:r w:rsidRPr="00E732D0">
        <w:rPr>
          <w:rFonts w:eastAsia="Times New Roman" w:cstheme="minorHAnsi"/>
          <w:lang w:val="en-GB" w:eastAsia="fr-FR"/>
        </w:rPr>
        <w:t>population and no c</w:t>
      </w:r>
      <w:r>
        <w:rPr>
          <w:rFonts w:eastAsia="Times New Roman" w:cstheme="minorHAnsi"/>
          <w:lang w:val="en-GB" w:eastAsia="fr-FR"/>
        </w:rPr>
        <w:t xml:space="preserve">omparator group. The study also </w:t>
      </w:r>
      <w:r w:rsidRPr="00E732D0">
        <w:rPr>
          <w:rFonts w:eastAsia="Times New Roman" w:cstheme="minorHAnsi"/>
          <w:lang w:val="en-GB" w:eastAsia="fr-FR"/>
        </w:rPr>
        <w:t>enrolled a population wi</w:t>
      </w:r>
      <w:r>
        <w:rPr>
          <w:rFonts w:eastAsia="Times New Roman" w:cstheme="minorHAnsi"/>
          <w:lang w:val="en-GB" w:eastAsia="fr-FR"/>
        </w:rPr>
        <w:t xml:space="preserve">th differing prognoses (hormone </w:t>
      </w:r>
      <w:r w:rsidRPr="00E732D0">
        <w:rPr>
          <w:rFonts w:eastAsia="Times New Roman" w:cstheme="minorHAnsi"/>
          <w:lang w:val="en-GB" w:eastAsia="fr-FR"/>
        </w:rPr>
        <w:t>receptor positive and tripl</w:t>
      </w:r>
      <w:r>
        <w:rPr>
          <w:rFonts w:eastAsia="Times New Roman" w:cstheme="minorHAnsi"/>
          <w:lang w:val="en-GB" w:eastAsia="fr-FR"/>
        </w:rPr>
        <w:t xml:space="preserve">e-negative breast cancer; zero, </w:t>
      </w:r>
      <w:r w:rsidRPr="00E732D0">
        <w:rPr>
          <w:rFonts w:eastAsia="Times New Roman" w:cstheme="minorHAnsi"/>
          <w:lang w:val="en-GB" w:eastAsia="fr-FR"/>
        </w:rPr>
        <w:t>one, or tw</w:t>
      </w:r>
      <w:r>
        <w:rPr>
          <w:rFonts w:eastAsia="Times New Roman" w:cstheme="minorHAnsi"/>
          <w:lang w:val="en-GB" w:eastAsia="fr-FR"/>
        </w:rPr>
        <w:t xml:space="preserve">o prior lines of chemotherapy), </w:t>
      </w:r>
      <w:r w:rsidRPr="00E732D0">
        <w:rPr>
          <w:rFonts w:eastAsia="Times New Roman" w:cstheme="minorHAnsi"/>
          <w:lang w:val="en-GB" w:eastAsia="fr-FR"/>
        </w:rPr>
        <w:t>introduc</w:t>
      </w:r>
      <w:r>
        <w:rPr>
          <w:rFonts w:eastAsia="Times New Roman" w:cstheme="minorHAnsi"/>
          <w:lang w:val="en-GB" w:eastAsia="fr-FR"/>
        </w:rPr>
        <w:t xml:space="preserve">ing </w:t>
      </w:r>
      <w:r w:rsidRPr="00E732D0">
        <w:rPr>
          <w:rFonts w:eastAsia="Times New Roman" w:cstheme="minorHAnsi"/>
          <w:lang w:val="en-GB" w:eastAsia="fr-FR"/>
        </w:rPr>
        <w:t>potential confound</w:t>
      </w:r>
      <w:r>
        <w:rPr>
          <w:rFonts w:eastAsia="Times New Roman" w:cstheme="minorHAnsi"/>
          <w:lang w:val="en-GB" w:eastAsia="fr-FR"/>
        </w:rPr>
        <w:t xml:space="preserve">ers into subgroup analyses. The </w:t>
      </w:r>
      <w:r w:rsidRPr="00E732D0">
        <w:rPr>
          <w:rFonts w:eastAsia="Times New Roman" w:cstheme="minorHAnsi"/>
          <w:lang w:val="en-GB" w:eastAsia="fr-FR"/>
        </w:rPr>
        <w:t>olaparib run-in reduced t</w:t>
      </w:r>
      <w:r>
        <w:rPr>
          <w:rFonts w:eastAsia="Times New Roman" w:cstheme="minorHAnsi"/>
          <w:lang w:val="en-GB" w:eastAsia="fr-FR"/>
        </w:rPr>
        <w:t xml:space="preserve">he exposure of some patients to </w:t>
      </w:r>
      <w:r w:rsidRPr="00E732D0">
        <w:rPr>
          <w:rFonts w:eastAsia="Times New Roman" w:cstheme="minorHAnsi"/>
          <w:lang w:val="en-GB" w:eastAsia="fr-FR"/>
        </w:rPr>
        <w:t>durvalumab, which might have influenced the results.</w:t>
      </w:r>
    </w:p>
    <w:p w:rsidR="00685B2E" w:rsidRPr="00937576" w:rsidRDefault="00685B2E" w:rsidP="00050447">
      <w:pPr>
        <w:shd w:val="clear" w:color="auto" w:fill="FFFFFF"/>
        <w:spacing w:after="240" w:line="240" w:lineRule="auto"/>
        <w:ind w:right="-709"/>
        <w:jc w:val="both"/>
        <w:rPr>
          <w:rFonts w:eastAsia="Times New Roman" w:cstheme="minorHAnsi"/>
          <w:lang w:val="en-GB" w:eastAsia="fr-FR"/>
        </w:rPr>
      </w:pPr>
      <w:r w:rsidRPr="00937576">
        <w:rPr>
          <w:rFonts w:eastAsia="Times New Roman" w:cstheme="minorHAnsi"/>
          <w:lang w:val="en-GB" w:eastAsia="fr-FR"/>
        </w:rPr>
        <w:t>In conclusion, findings from the MEDIOLA trial show that the combination of olaparib and durvalumab produced promising antitumour activity and was tolerable in patients with germline </w:t>
      </w:r>
      <w:r w:rsidRPr="00937576">
        <w:rPr>
          <w:rFonts w:eastAsia="Times New Roman" w:cstheme="minorHAnsi"/>
          <w:i/>
          <w:iCs/>
          <w:lang w:val="en-GB" w:eastAsia="fr-FR"/>
        </w:rPr>
        <w:t>BRCA1</w:t>
      </w:r>
      <w:r w:rsidRPr="00937576">
        <w:rPr>
          <w:rFonts w:eastAsia="Times New Roman" w:cstheme="minorHAnsi"/>
          <w:lang w:val="en-GB" w:eastAsia="fr-FR"/>
        </w:rPr>
        <w:t> -mutated or </w:t>
      </w:r>
      <w:r w:rsidRPr="00937576">
        <w:rPr>
          <w:rFonts w:eastAsia="Times New Roman" w:cstheme="minorHAnsi"/>
          <w:i/>
          <w:iCs/>
          <w:lang w:val="en-GB" w:eastAsia="fr-FR"/>
        </w:rPr>
        <w:t>BRCA2</w:t>
      </w:r>
      <w:r w:rsidRPr="00937576">
        <w:rPr>
          <w:rFonts w:eastAsia="Times New Roman" w:cstheme="minorHAnsi"/>
          <w:lang w:val="en-GB" w:eastAsia="fr-FR"/>
        </w:rPr>
        <w:t> -mutated metastatic breast cancer. Further research is needed to determine whether there are subsets of patients who benefit from the addition of durvalumab to olaparib,</w:t>
      </w:r>
      <w:r w:rsidR="006933D7">
        <w:rPr>
          <w:rFonts w:eastAsia="Times New Roman" w:cstheme="minorHAnsi"/>
          <w:lang w:val="en-GB" w:eastAsia="fr-FR"/>
        </w:rPr>
        <w:t xml:space="preserve"> </w:t>
      </w:r>
      <w:r w:rsidRPr="00937576">
        <w:rPr>
          <w:rFonts w:eastAsia="Times New Roman" w:cstheme="minorHAnsi"/>
          <w:lang w:val="en-GB" w:eastAsia="fr-FR"/>
        </w:rPr>
        <w:t>…</w:t>
      </w:r>
    </w:p>
    <w:p w:rsidR="00685B2E" w:rsidRPr="00937576" w:rsidRDefault="00685B2E" w:rsidP="00050447">
      <w:pPr>
        <w:shd w:val="clear" w:color="auto" w:fill="FFFFFF"/>
        <w:spacing w:after="240" w:line="240" w:lineRule="auto"/>
        <w:ind w:right="-709"/>
        <w:jc w:val="both"/>
        <w:rPr>
          <w:rFonts w:eastAsia="Times New Roman" w:cstheme="minorHAnsi"/>
          <w:lang w:val="en-GB" w:eastAsia="fr-FR"/>
        </w:rPr>
      </w:pPr>
    </w:p>
    <w:p w:rsidR="00685B2E" w:rsidRPr="00917EB2" w:rsidRDefault="00685B2E" w:rsidP="00050447">
      <w:pPr>
        <w:shd w:val="clear" w:color="auto" w:fill="FFFFFF"/>
        <w:spacing w:after="240" w:line="240" w:lineRule="auto"/>
        <w:ind w:right="-709"/>
        <w:jc w:val="both"/>
        <w:rPr>
          <w:rFonts w:eastAsia="Times New Roman" w:cstheme="minorHAnsi"/>
          <w:b/>
          <w:lang w:eastAsia="fr-FR"/>
        </w:rPr>
      </w:pPr>
      <w:r w:rsidRPr="00917EB2">
        <w:rPr>
          <w:rFonts w:eastAsia="Times New Roman" w:cstheme="minorHAnsi"/>
          <w:b/>
          <w:lang w:eastAsia="fr-FR"/>
        </w:rPr>
        <w:t>QUESTIONS</w:t>
      </w:r>
      <w:r w:rsidR="00917EB2" w:rsidRPr="00917EB2">
        <w:rPr>
          <w:rFonts w:eastAsia="Times New Roman" w:cstheme="minorHAnsi"/>
          <w:b/>
          <w:lang w:eastAsia="fr-FR"/>
        </w:rPr>
        <w:t xml:space="preserve"> (et réponses attendues –mots clés-)</w:t>
      </w:r>
    </w:p>
    <w:p w:rsidR="0059405C" w:rsidRDefault="00A7771F" w:rsidP="001A56F3">
      <w:pPr>
        <w:pStyle w:val="Paragraphedeliste"/>
        <w:numPr>
          <w:ilvl w:val="0"/>
          <w:numId w:val="12"/>
        </w:numPr>
        <w:shd w:val="clear" w:color="auto" w:fill="FFFFFF"/>
        <w:spacing w:after="240" w:line="480" w:lineRule="auto"/>
        <w:ind w:left="714" w:right="-709" w:hanging="357"/>
        <w:jc w:val="both"/>
        <w:rPr>
          <w:rFonts w:eastAsia="Times New Roman" w:cstheme="minorHAnsi"/>
          <w:lang w:eastAsia="fr-FR"/>
        </w:rPr>
      </w:pPr>
      <w:r w:rsidRPr="00A7771F">
        <w:rPr>
          <w:rFonts w:eastAsia="Times New Roman" w:cstheme="minorHAnsi"/>
          <w:lang w:eastAsia="fr-FR"/>
        </w:rPr>
        <w:t xml:space="preserve">En quoi ont pu consister les </w:t>
      </w:r>
      <w:r w:rsidR="00955C5E">
        <w:rPr>
          <w:rFonts w:eastAsia="Times New Roman" w:cstheme="minorHAnsi"/>
          <w:lang w:eastAsia="fr-FR"/>
        </w:rPr>
        <w:t>études précliniques</w:t>
      </w:r>
      <w:r w:rsidRPr="00A7771F">
        <w:rPr>
          <w:rFonts w:eastAsia="Times New Roman" w:cstheme="minorHAnsi"/>
          <w:lang w:eastAsia="fr-FR"/>
        </w:rPr>
        <w:t xml:space="preserve"> évoquées ligne </w:t>
      </w:r>
      <w:r w:rsidR="0014674C">
        <w:rPr>
          <w:rFonts w:eastAsia="Times New Roman" w:cstheme="minorHAnsi"/>
          <w:lang w:eastAsia="fr-FR"/>
        </w:rPr>
        <w:t>16 ?</w:t>
      </w:r>
    </w:p>
    <w:p w:rsidR="00917EB2" w:rsidRPr="00A7771F" w:rsidRDefault="00917EB2" w:rsidP="00917EB2">
      <w:pPr>
        <w:pStyle w:val="Paragraphedeliste"/>
        <w:shd w:val="clear" w:color="auto" w:fill="FFFFFF"/>
        <w:spacing w:after="240" w:line="480" w:lineRule="auto"/>
        <w:ind w:left="714" w:right="-709"/>
        <w:jc w:val="both"/>
        <w:rPr>
          <w:rFonts w:eastAsia="Times New Roman" w:cstheme="minorHAnsi"/>
          <w:lang w:eastAsia="fr-FR"/>
        </w:rPr>
      </w:pPr>
      <w:r>
        <w:rPr>
          <w:rFonts w:eastAsia="Times New Roman" w:cstheme="minorHAnsi"/>
          <w:lang w:eastAsia="fr-FR"/>
        </w:rPr>
        <w:t>R : Modèles tumoraux animaux montrant que l’association est plus efficace qu’une molécule seule</w:t>
      </w:r>
    </w:p>
    <w:p w:rsidR="00A97505" w:rsidRDefault="00A7771F" w:rsidP="001A56F3">
      <w:pPr>
        <w:pStyle w:val="Paragraphedeliste"/>
        <w:numPr>
          <w:ilvl w:val="0"/>
          <w:numId w:val="12"/>
        </w:numPr>
        <w:shd w:val="clear" w:color="auto" w:fill="FFFFFF"/>
        <w:spacing w:after="240" w:line="480" w:lineRule="auto"/>
        <w:ind w:left="714" w:right="-709" w:hanging="357"/>
        <w:jc w:val="both"/>
        <w:rPr>
          <w:rFonts w:eastAsia="Times New Roman" w:cstheme="minorHAnsi"/>
          <w:lang w:eastAsia="fr-FR"/>
        </w:rPr>
      </w:pPr>
      <w:r>
        <w:rPr>
          <w:rFonts w:eastAsia="Times New Roman" w:cstheme="minorHAnsi"/>
          <w:lang w:eastAsia="fr-FR"/>
        </w:rPr>
        <w:t>Quels résultats préalables à cette étude ont pu justifier le choix d’une dose de 1,5 g administrée toutes 4 semaines en lieu et place du schéma d’administration qui avait été initialement utilisé lors du développement clinique : 10 mg/kg toutes les 2 semaines (lignes</w:t>
      </w:r>
      <w:r w:rsidR="0014674C">
        <w:rPr>
          <w:rFonts w:eastAsia="Times New Roman" w:cstheme="minorHAnsi"/>
          <w:lang w:eastAsia="fr-FR"/>
        </w:rPr>
        <w:t xml:space="preserve"> 72-75</w:t>
      </w:r>
      <w:r>
        <w:rPr>
          <w:rFonts w:eastAsia="Times New Roman" w:cstheme="minorHAnsi"/>
          <w:lang w:eastAsia="fr-FR"/>
        </w:rPr>
        <w:t>) ?</w:t>
      </w:r>
    </w:p>
    <w:p w:rsidR="00917EB2" w:rsidRPr="00A7771F" w:rsidRDefault="00917EB2" w:rsidP="00917EB2">
      <w:pPr>
        <w:pStyle w:val="Paragraphedeliste"/>
        <w:shd w:val="clear" w:color="auto" w:fill="FFFFFF"/>
        <w:spacing w:after="240" w:line="480" w:lineRule="auto"/>
        <w:ind w:left="714" w:right="-709"/>
        <w:jc w:val="both"/>
        <w:rPr>
          <w:rFonts w:eastAsia="Times New Roman" w:cstheme="minorHAnsi"/>
          <w:lang w:eastAsia="fr-FR"/>
        </w:rPr>
      </w:pPr>
      <w:r>
        <w:rPr>
          <w:rFonts w:eastAsia="Times New Roman" w:cstheme="minorHAnsi"/>
          <w:lang w:eastAsia="fr-FR"/>
        </w:rPr>
        <w:t>R : études pharmacocinétiques montrant que exposition (AUC) équivalentes (en moyenne et en termes de variabilités inter-individuelles)</w:t>
      </w:r>
    </w:p>
    <w:p w:rsidR="0014704A" w:rsidRDefault="009B4208" w:rsidP="001A56F3">
      <w:pPr>
        <w:pStyle w:val="Paragraphedeliste"/>
        <w:numPr>
          <w:ilvl w:val="0"/>
          <w:numId w:val="12"/>
        </w:numPr>
        <w:shd w:val="clear" w:color="auto" w:fill="FFFFFF"/>
        <w:spacing w:after="240" w:line="480" w:lineRule="auto"/>
        <w:ind w:left="714" w:right="-709" w:hanging="357"/>
        <w:jc w:val="both"/>
        <w:rPr>
          <w:rFonts w:eastAsia="Times New Roman" w:cstheme="minorHAnsi"/>
          <w:lang w:eastAsia="fr-FR"/>
        </w:rPr>
      </w:pPr>
      <w:r w:rsidRPr="009B4208">
        <w:rPr>
          <w:rFonts w:eastAsia="Times New Roman" w:cstheme="minorHAnsi"/>
          <w:lang w:eastAsia="fr-FR"/>
        </w:rPr>
        <w:t xml:space="preserve">Justifier la </w:t>
      </w:r>
      <w:r>
        <w:rPr>
          <w:rFonts w:eastAsia="Times New Roman" w:cstheme="minorHAnsi"/>
          <w:lang w:eastAsia="fr-FR"/>
        </w:rPr>
        <w:t>dé</w:t>
      </w:r>
      <w:r w:rsidRPr="009B4208">
        <w:rPr>
          <w:rFonts w:eastAsia="Times New Roman" w:cstheme="minorHAnsi"/>
          <w:lang w:eastAsia="fr-FR"/>
        </w:rPr>
        <w:t xml:space="preserve">termination du niveau d’expression de </w:t>
      </w:r>
      <w:r w:rsidR="0014704A" w:rsidRPr="009B4208">
        <w:rPr>
          <w:rFonts w:eastAsia="Times New Roman" w:cstheme="minorHAnsi"/>
          <w:lang w:eastAsia="fr-FR"/>
        </w:rPr>
        <w:t>PD-L1</w:t>
      </w:r>
      <w:r>
        <w:rPr>
          <w:rFonts w:eastAsia="Times New Roman" w:cstheme="minorHAnsi"/>
          <w:lang w:eastAsia="fr-FR"/>
        </w:rPr>
        <w:t xml:space="preserve"> et du taux de mutations au niveau tumoral (lignes </w:t>
      </w:r>
      <w:r w:rsidR="0014674C">
        <w:rPr>
          <w:rFonts w:eastAsia="Times New Roman" w:cstheme="minorHAnsi"/>
          <w:lang w:eastAsia="fr-FR"/>
        </w:rPr>
        <w:t>83-87</w:t>
      </w:r>
      <w:r>
        <w:rPr>
          <w:rFonts w:eastAsia="Times New Roman" w:cstheme="minorHAnsi"/>
          <w:lang w:eastAsia="fr-FR"/>
        </w:rPr>
        <w:t>).</w:t>
      </w:r>
    </w:p>
    <w:p w:rsidR="00917EB2" w:rsidRDefault="00917EB2" w:rsidP="00917EB2">
      <w:pPr>
        <w:pStyle w:val="Paragraphedeliste"/>
        <w:shd w:val="clear" w:color="auto" w:fill="FFFFFF"/>
        <w:spacing w:after="240" w:line="480" w:lineRule="auto"/>
        <w:ind w:left="714" w:right="-709"/>
        <w:jc w:val="both"/>
        <w:rPr>
          <w:rFonts w:eastAsia="Times New Roman" w:cstheme="minorHAnsi"/>
          <w:lang w:eastAsia="fr-FR"/>
        </w:rPr>
      </w:pPr>
      <w:r>
        <w:rPr>
          <w:rFonts w:eastAsia="Times New Roman" w:cstheme="minorHAnsi"/>
          <w:lang w:eastAsia="fr-FR"/>
        </w:rPr>
        <w:t>R : expression de PD-L1 et taux de mutations somatiques ont été identifiés comme facteurs prédictifs de réponse à l’immunothérapie et notamment au anti-PD1 et anti-PD-L1</w:t>
      </w:r>
    </w:p>
    <w:p w:rsidR="0014674C" w:rsidRDefault="0014674C" w:rsidP="001A56F3">
      <w:pPr>
        <w:pStyle w:val="Paragraphedeliste"/>
        <w:numPr>
          <w:ilvl w:val="0"/>
          <w:numId w:val="12"/>
        </w:numPr>
        <w:shd w:val="clear" w:color="auto" w:fill="FFFFFF"/>
        <w:spacing w:after="240" w:line="480" w:lineRule="auto"/>
        <w:ind w:left="714" w:right="-709" w:hanging="357"/>
        <w:jc w:val="both"/>
        <w:rPr>
          <w:rFonts w:eastAsia="Times New Roman" w:cstheme="minorHAnsi"/>
          <w:lang w:eastAsia="fr-FR"/>
        </w:rPr>
      </w:pPr>
      <w:r>
        <w:rPr>
          <w:rFonts w:eastAsia="Times New Roman" w:cstheme="minorHAnsi"/>
          <w:lang w:eastAsia="fr-FR"/>
        </w:rPr>
        <w:t>A quels organes est-il fait référence ligne 68 et justifier ce critère d’inclusion.</w:t>
      </w:r>
    </w:p>
    <w:p w:rsidR="00917EB2" w:rsidRPr="009B4208" w:rsidRDefault="00917EB2" w:rsidP="00917EB2">
      <w:pPr>
        <w:pStyle w:val="Paragraphedeliste"/>
        <w:shd w:val="clear" w:color="auto" w:fill="FFFFFF"/>
        <w:spacing w:after="240" w:line="480" w:lineRule="auto"/>
        <w:ind w:left="714" w:right="-709"/>
        <w:jc w:val="both"/>
        <w:rPr>
          <w:rFonts w:eastAsia="Times New Roman" w:cstheme="minorHAnsi"/>
          <w:lang w:eastAsia="fr-FR"/>
        </w:rPr>
      </w:pPr>
      <w:r>
        <w:rPr>
          <w:rFonts w:eastAsia="Times New Roman" w:cstheme="minorHAnsi"/>
          <w:lang w:eastAsia="fr-FR"/>
        </w:rPr>
        <w:t>R : fonctions rénales et hépatiques normales, critère d’inclusion des phases précoces (phase 1 ntamment)</w:t>
      </w:r>
    </w:p>
    <w:p w:rsidR="00620A08" w:rsidRDefault="00B46CAE" w:rsidP="001A56F3">
      <w:pPr>
        <w:pStyle w:val="Paragraphedeliste"/>
        <w:numPr>
          <w:ilvl w:val="0"/>
          <w:numId w:val="12"/>
        </w:numPr>
        <w:shd w:val="clear" w:color="auto" w:fill="FFFFFF"/>
        <w:spacing w:after="240" w:line="480" w:lineRule="auto"/>
        <w:ind w:left="714" w:right="-709" w:hanging="357"/>
        <w:jc w:val="both"/>
        <w:rPr>
          <w:rFonts w:eastAsia="Times New Roman" w:cstheme="minorHAnsi"/>
          <w:lang w:eastAsia="fr-FR"/>
        </w:rPr>
      </w:pPr>
      <w:r w:rsidRPr="00B46CAE">
        <w:rPr>
          <w:rFonts w:eastAsia="Times New Roman" w:cstheme="minorHAnsi"/>
          <w:lang w:eastAsia="fr-FR"/>
        </w:rPr>
        <w:t>Les résult</w:t>
      </w:r>
      <w:r w:rsidR="0014674C">
        <w:rPr>
          <w:rFonts w:eastAsia="Times New Roman" w:cstheme="minorHAnsi"/>
          <w:lang w:eastAsia="fr-FR"/>
        </w:rPr>
        <w:t>ats pharmacocinétiques (lignes 118-122</w:t>
      </w:r>
      <w:r w:rsidRPr="00B46CAE">
        <w:rPr>
          <w:rFonts w:eastAsia="Times New Roman" w:cstheme="minorHAnsi"/>
          <w:lang w:eastAsia="fr-FR"/>
        </w:rPr>
        <w:t>) étaient-ils attendus?</w:t>
      </w:r>
    </w:p>
    <w:p w:rsidR="00917EB2" w:rsidRPr="00B46CAE" w:rsidRDefault="00917EB2" w:rsidP="00917EB2">
      <w:pPr>
        <w:pStyle w:val="Paragraphedeliste"/>
        <w:shd w:val="clear" w:color="auto" w:fill="FFFFFF"/>
        <w:spacing w:after="240" w:line="480" w:lineRule="auto"/>
        <w:ind w:left="714" w:right="-709"/>
        <w:jc w:val="both"/>
        <w:rPr>
          <w:rFonts w:eastAsia="Times New Roman" w:cstheme="minorHAnsi"/>
          <w:lang w:eastAsia="fr-FR"/>
        </w:rPr>
      </w:pPr>
      <w:r>
        <w:rPr>
          <w:rFonts w:eastAsia="Times New Roman" w:cstheme="minorHAnsi"/>
          <w:lang w:eastAsia="fr-FR"/>
        </w:rPr>
        <w:t>R : oui, absence d’interaction PK entre 2 molécules de structure très différentes (un anti-corps monoclonal et une « petite molécule ») qui ont des voies d’élimination différentes (par les mêmes processus métaboliques</w:t>
      </w:r>
    </w:p>
    <w:p w:rsidR="00685B2E" w:rsidRDefault="00685B2E" w:rsidP="001A56F3">
      <w:pPr>
        <w:pStyle w:val="Paragraphedeliste"/>
        <w:numPr>
          <w:ilvl w:val="0"/>
          <w:numId w:val="12"/>
        </w:numPr>
        <w:shd w:val="clear" w:color="auto" w:fill="FFFFFF"/>
        <w:spacing w:after="240" w:line="480" w:lineRule="auto"/>
        <w:ind w:left="714" w:right="-709" w:hanging="357"/>
        <w:jc w:val="both"/>
        <w:rPr>
          <w:rFonts w:eastAsia="Times New Roman" w:cstheme="minorHAnsi"/>
          <w:lang w:eastAsia="fr-FR"/>
        </w:rPr>
      </w:pPr>
      <w:r w:rsidRPr="00937576">
        <w:rPr>
          <w:rFonts w:eastAsia="Times New Roman" w:cstheme="minorHAnsi"/>
          <w:lang w:eastAsia="fr-FR"/>
        </w:rPr>
        <w:t xml:space="preserve">Justifier le terme “Basket” </w:t>
      </w:r>
      <w:r w:rsidR="0014674C">
        <w:rPr>
          <w:rFonts w:eastAsia="Times New Roman" w:cstheme="minorHAnsi"/>
          <w:lang w:eastAsia="fr-FR"/>
        </w:rPr>
        <w:t>(ligne</w:t>
      </w:r>
      <w:r w:rsidR="001A56F3">
        <w:rPr>
          <w:rFonts w:eastAsia="Times New Roman" w:cstheme="minorHAnsi"/>
          <w:lang w:eastAsia="fr-FR"/>
        </w:rPr>
        <w:t>s</w:t>
      </w:r>
      <w:r w:rsidR="0014674C">
        <w:rPr>
          <w:rFonts w:eastAsia="Times New Roman" w:cstheme="minorHAnsi"/>
          <w:lang w:eastAsia="fr-FR"/>
        </w:rPr>
        <w:t xml:space="preserve"> </w:t>
      </w:r>
      <w:r w:rsidR="001A56F3">
        <w:rPr>
          <w:rFonts w:eastAsia="Times New Roman" w:cstheme="minorHAnsi"/>
          <w:lang w:eastAsia="fr-FR"/>
        </w:rPr>
        <w:t xml:space="preserve">11, </w:t>
      </w:r>
      <w:r w:rsidR="0014674C">
        <w:rPr>
          <w:rFonts w:eastAsia="Times New Roman" w:cstheme="minorHAnsi"/>
          <w:lang w:eastAsia="fr-FR"/>
        </w:rPr>
        <w:t xml:space="preserve">13 et 59) </w:t>
      </w:r>
      <w:r w:rsidRPr="00937576">
        <w:rPr>
          <w:rFonts w:eastAsia="Times New Roman" w:cstheme="minorHAnsi"/>
          <w:lang w:eastAsia="fr-FR"/>
        </w:rPr>
        <w:t>pour cette étude.</w:t>
      </w:r>
    </w:p>
    <w:p w:rsidR="00917EB2" w:rsidRPr="00937576" w:rsidRDefault="00917EB2" w:rsidP="00917EB2">
      <w:pPr>
        <w:pStyle w:val="Paragraphedeliste"/>
        <w:shd w:val="clear" w:color="auto" w:fill="FFFFFF"/>
        <w:spacing w:after="240" w:line="480" w:lineRule="auto"/>
        <w:ind w:left="714" w:right="-709"/>
        <w:jc w:val="both"/>
        <w:rPr>
          <w:rFonts w:eastAsia="Times New Roman" w:cstheme="minorHAnsi"/>
          <w:lang w:eastAsia="fr-FR"/>
        </w:rPr>
      </w:pPr>
      <w:r>
        <w:rPr>
          <w:rFonts w:eastAsia="Times New Roman" w:cstheme="minorHAnsi"/>
          <w:lang w:eastAsia="fr-FR"/>
        </w:rPr>
        <w:t>R : étude qui a inclus des patients ayant des localisations tumorales différentes (mais toutes porteurs de mutations de BRCA1/2)</w:t>
      </w:r>
    </w:p>
    <w:p w:rsidR="00685B2E" w:rsidRDefault="00685B2E" w:rsidP="001A56F3">
      <w:pPr>
        <w:pStyle w:val="Paragraphedeliste"/>
        <w:numPr>
          <w:ilvl w:val="0"/>
          <w:numId w:val="12"/>
        </w:numPr>
        <w:shd w:val="clear" w:color="auto" w:fill="FFFFFF"/>
        <w:spacing w:after="240" w:line="480" w:lineRule="auto"/>
        <w:ind w:left="714" w:right="-709" w:hanging="357"/>
        <w:jc w:val="both"/>
        <w:rPr>
          <w:rFonts w:eastAsia="Times New Roman" w:cstheme="minorHAnsi"/>
          <w:lang w:eastAsia="fr-FR"/>
        </w:rPr>
      </w:pPr>
      <w:r w:rsidRPr="00937576">
        <w:rPr>
          <w:rFonts w:eastAsia="Times New Roman" w:cstheme="minorHAnsi"/>
          <w:lang w:eastAsia="fr-FR"/>
        </w:rPr>
        <w:t>Quelles sont, parmi les données du Table</w:t>
      </w:r>
      <w:r w:rsidR="00B46CAE">
        <w:rPr>
          <w:rFonts w:eastAsia="Times New Roman" w:cstheme="minorHAnsi"/>
          <w:lang w:eastAsia="fr-FR"/>
        </w:rPr>
        <w:t>au</w:t>
      </w:r>
      <w:r w:rsidRPr="00937576">
        <w:rPr>
          <w:rFonts w:eastAsia="Times New Roman" w:cstheme="minorHAnsi"/>
          <w:lang w:eastAsia="fr-FR"/>
        </w:rPr>
        <w:t xml:space="preserve"> 1</w:t>
      </w:r>
      <w:r w:rsidR="001A56F3">
        <w:rPr>
          <w:rFonts w:eastAsia="Times New Roman" w:cstheme="minorHAnsi"/>
          <w:lang w:eastAsia="fr-FR"/>
        </w:rPr>
        <w:t xml:space="preserve"> (ligne 113)</w:t>
      </w:r>
      <w:r w:rsidRPr="00937576">
        <w:rPr>
          <w:rFonts w:eastAsia="Times New Roman" w:cstheme="minorHAnsi"/>
          <w:lang w:eastAsia="fr-FR"/>
        </w:rPr>
        <w:t>, celles qui dont le recueil n’a pas été permis en France (justifier votre réponse).</w:t>
      </w:r>
    </w:p>
    <w:p w:rsidR="00917EB2" w:rsidRPr="00937576" w:rsidRDefault="00917EB2" w:rsidP="00917EB2">
      <w:pPr>
        <w:pStyle w:val="Paragraphedeliste"/>
        <w:shd w:val="clear" w:color="auto" w:fill="FFFFFF"/>
        <w:spacing w:after="240" w:line="480" w:lineRule="auto"/>
        <w:ind w:left="714" w:right="-709"/>
        <w:jc w:val="both"/>
        <w:rPr>
          <w:rFonts w:eastAsia="Times New Roman" w:cstheme="minorHAnsi"/>
          <w:lang w:eastAsia="fr-FR"/>
        </w:rPr>
      </w:pPr>
      <w:r>
        <w:rPr>
          <w:rFonts w:eastAsia="Times New Roman" w:cstheme="minorHAnsi"/>
          <w:lang w:eastAsia="fr-FR"/>
        </w:rPr>
        <w:t>R : Origine ethnique</w:t>
      </w:r>
    </w:p>
    <w:p w:rsidR="00685B2E" w:rsidRDefault="00685B2E" w:rsidP="001A56F3">
      <w:pPr>
        <w:pStyle w:val="Paragraphedeliste"/>
        <w:numPr>
          <w:ilvl w:val="0"/>
          <w:numId w:val="12"/>
        </w:numPr>
        <w:shd w:val="clear" w:color="auto" w:fill="FFFFFF"/>
        <w:spacing w:after="240" w:line="480" w:lineRule="auto"/>
        <w:ind w:left="714" w:right="-709" w:hanging="357"/>
        <w:jc w:val="both"/>
        <w:rPr>
          <w:rFonts w:eastAsia="Times New Roman" w:cstheme="minorHAnsi"/>
          <w:lang w:eastAsia="fr-FR"/>
        </w:rPr>
      </w:pPr>
      <w:r w:rsidRPr="00937576">
        <w:rPr>
          <w:rFonts w:eastAsia="Times New Roman" w:cstheme="minorHAnsi"/>
          <w:lang w:eastAsia="fr-FR"/>
        </w:rPr>
        <w:t xml:space="preserve">Le critère principal d’efficacité </w:t>
      </w:r>
      <w:r w:rsidR="0014674C">
        <w:rPr>
          <w:rFonts w:eastAsia="Times New Roman" w:cstheme="minorHAnsi"/>
          <w:lang w:eastAsia="fr-FR"/>
        </w:rPr>
        <w:t xml:space="preserve">(lignes 89-91) </w:t>
      </w:r>
      <w:r w:rsidRPr="00937576">
        <w:rPr>
          <w:rFonts w:eastAsia="Times New Roman" w:cstheme="minorHAnsi"/>
          <w:lang w:eastAsia="fr-FR"/>
        </w:rPr>
        <w:t xml:space="preserve">est-il le même que celui qui </w:t>
      </w:r>
      <w:r w:rsidR="00B46CAE">
        <w:rPr>
          <w:rFonts w:eastAsia="Times New Roman" w:cstheme="minorHAnsi"/>
          <w:lang w:eastAsia="fr-FR"/>
        </w:rPr>
        <w:t xml:space="preserve">est </w:t>
      </w:r>
      <w:r w:rsidRPr="00937576">
        <w:rPr>
          <w:rFonts w:eastAsia="Times New Roman" w:cstheme="minorHAnsi"/>
          <w:lang w:eastAsia="fr-FR"/>
        </w:rPr>
        <w:t>utilisé pour les études de phase 2 consistant à évaluer l’activité antitumorale d’un cytotoxique ? Justifier une éventuelle différence.</w:t>
      </w:r>
    </w:p>
    <w:p w:rsidR="00917EB2" w:rsidRPr="00937576" w:rsidRDefault="00917EB2" w:rsidP="00917EB2">
      <w:pPr>
        <w:pStyle w:val="Paragraphedeliste"/>
        <w:shd w:val="clear" w:color="auto" w:fill="FFFFFF"/>
        <w:spacing w:after="240" w:line="480" w:lineRule="auto"/>
        <w:ind w:left="714" w:right="-709"/>
        <w:jc w:val="both"/>
        <w:rPr>
          <w:rFonts w:eastAsia="Times New Roman" w:cstheme="minorHAnsi"/>
          <w:lang w:eastAsia="fr-FR"/>
        </w:rPr>
      </w:pPr>
      <w:r>
        <w:rPr>
          <w:rFonts w:eastAsia="Times New Roman" w:cstheme="minorHAnsi"/>
          <w:lang w:eastAsia="fr-FR"/>
        </w:rPr>
        <w:t>R : pour les cytotoxiques, les patients « répondeurs » sont ceux ayant soit réponse complète, soit réponse partielle ;</w:t>
      </w:r>
      <w:r w:rsidR="005B4B00">
        <w:rPr>
          <w:rFonts w:eastAsia="Times New Roman" w:cstheme="minorHAnsi"/>
          <w:lang w:eastAsia="fr-FR"/>
        </w:rPr>
        <w:t xml:space="preserve"> contrairement à ici où patients en maladie stable sont considérés comme « succès thérapeutiques » ce qui se justifie par les bénéfices cliniques prolongés qui peuvent être associés à cette situation</w:t>
      </w:r>
    </w:p>
    <w:p w:rsidR="00685B2E" w:rsidRDefault="001A56F3" w:rsidP="001A56F3">
      <w:pPr>
        <w:pStyle w:val="Paragraphedeliste"/>
        <w:numPr>
          <w:ilvl w:val="0"/>
          <w:numId w:val="12"/>
        </w:numPr>
        <w:shd w:val="clear" w:color="auto" w:fill="FFFFFF"/>
        <w:spacing w:after="240" w:line="480" w:lineRule="auto"/>
        <w:ind w:left="714" w:right="-709" w:hanging="357"/>
        <w:jc w:val="both"/>
        <w:rPr>
          <w:rFonts w:eastAsia="Times New Roman" w:cstheme="minorHAnsi"/>
          <w:lang w:eastAsia="fr-FR"/>
        </w:rPr>
      </w:pPr>
      <w:r>
        <w:rPr>
          <w:rFonts w:eastAsia="Times New Roman" w:cstheme="minorHAnsi"/>
          <w:lang w:eastAsia="fr-FR"/>
        </w:rPr>
        <w:t xml:space="preserve">Les </w:t>
      </w:r>
      <w:r w:rsidR="00685B2E" w:rsidRPr="00937576">
        <w:rPr>
          <w:rFonts w:eastAsia="Times New Roman" w:cstheme="minorHAnsi"/>
          <w:lang w:eastAsia="fr-FR"/>
        </w:rPr>
        <w:t>résultats obtenus</w:t>
      </w:r>
      <w:r>
        <w:rPr>
          <w:rFonts w:eastAsia="Times New Roman" w:cstheme="minorHAnsi"/>
          <w:lang w:eastAsia="fr-FR"/>
        </w:rPr>
        <w:t xml:space="preserve"> pour cette cohorte de patients sont-ils encourageants pour la poursuite du développement de cette association</w:t>
      </w:r>
      <w:r w:rsidR="00685B2E" w:rsidRPr="00937576">
        <w:rPr>
          <w:rFonts w:eastAsia="Times New Roman" w:cstheme="minorHAnsi"/>
          <w:lang w:eastAsia="fr-FR"/>
        </w:rPr>
        <w:t>? (justifier votre réponse).</w:t>
      </w:r>
    </w:p>
    <w:p w:rsidR="005B4B00" w:rsidRPr="00937576" w:rsidRDefault="005B4B00" w:rsidP="005B4B00">
      <w:pPr>
        <w:pStyle w:val="Paragraphedeliste"/>
        <w:shd w:val="clear" w:color="auto" w:fill="FFFFFF"/>
        <w:spacing w:after="240" w:line="480" w:lineRule="auto"/>
        <w:ind w:left="714" w:right="-709"/>
        <w:jc w:val="both"/>
        <w:rPr>
          <w:rFonts w:eastAsia="Times New Roman" w:cstheme="minorHAnsi"/>
          <w:lang w:eastAsia="fr-FR"/>
        </w:rPr>
      </w:pPr>
      <w:r>
        <w:rPr>
          <w:rFonts w:eastAsia="Times New Roman" w:cstheme="minorHAnsi"/>
          <w:lang w:eastAsia="fr-FR"/>
        </w:rPr>
        <w:t>R : Oui car tolérance acceptable et efficacité mais décevant car apparement pas supérieure à la monothérapie (PARP inhibiteur)</w:t>
      </w:r>
    </w:p>
    <w:p w:rsidR="00974B61" w:rsidRDefault="00050447" w:rsidP="001A56F3">
      <w:pPr>
        <w:pStyle w:val="Paragraphedeliste"/>
        <w:numPr>
          <w:ilvl w:val="0"/>
          <w:numId w:val="12"/>
        </w:numPr>
        <w:shd w:val="clear" w:color="auto" w:fill="FFFFFF"/>
        <w:spacing w:after="240" w:line="480" w:lineRule="auto"/>
        <w:ind w:left="714" w:right="-709" w:hanging="357"/>
        <w:jc w:val="both"/>
        <w:rPr>
          <w:rFonts w:eastAsia="Times New Roman" w:cstheme="minorHAnsi"/>
          <w:lang w:eastAsia="fr-FR"/>
        </w:rPr>
      </w:pPr>
      <w:r>
        <w:rPr>
          <w:rFonts w:eastAsia="Times New Roman" w:cstheme="minorHAnsi"/>
          <w:lang w:eastAsia="fr-FR"/>
        </w:rPr>
        <w:t>Quel(</w:t>
      </w:r>
      <w:r w:rsidR="00B46CAE">
        <w:rPr>
          <w:rFonts w:eastAsia="Times New Roman" w:cstheme="minorHAnsi"/>
          <w:lang w:eastAsia="fr-FR"/>
        </w:rPr>
        <w:t>s</w:t>
      </w:r>
      <w:r>
        <w:rPr>
          <w:rFonts w:eastAsia="Times New Roman" w:cstheme="minorHAnsi"/>
          <w:lang w:eastAsia="fr-FR"/>
        </w:rPr>
        <w:t>)</w:t>
      </w:r>
      <w:r w:rsidR="00B46CAE">
        <w:rPr>
          <w:rFonts w:eastAsia="Times New Roman" w:cstheme="minorHAnsi"/>
          <w:lang w:eastAsia="fr-FR"/>
        </w:rPr>
        <w:t xml:space="preserve"> autre</w:t>
      </w:r>
      <w:r>
        <w:rPr>
          <w:rFonts w:eastAsia="Times New Roman" w:cstheme="minorHAnsi"/>
          <w:lang w:eastAsia="fr-FR"/>
        </w:rPr>
        <w:t>(</w:t>
      </w:r>
      <w:r w:rsidR="00B46CAE">
        <w:rPr>
          <w:rFonts w:eastAsia="Times New Roman" w:cstheme="minorHAnsi"/>
          <w:lang w:eastAsia="fr-FR"/>
        </w:rPr>
        <w:t>s</w:t>
      </w:r>
      <w:r>
        <w:rPr>
          <w:rFonts w:eastAsia="Times New Roman" w:cstheme="minorHAnsi"/>
          <w:lang w:eastAsia="fr-FR"/>
        </w:rPr>
        <w:t>)</w:t>
      </w:r>
      <w:r w:rsidR="00B46CAE">
        <w:rPr>
          <w:rFonts w:eastAsia="Times New Roman" w:cstheme="minorHAnsi"/>
          <w:lang w:eastAsia="fr-FR"/>
        </w:rPr>
        <w:t xml:space="preserve"> essai</w:t>
      </w:r>
      <w:r>
        <w:rPr>
          <w:rFonts w:eastAsia="Times New Roman" w:cstheme="minorHAnsi"/>
          <w:lang w:eastAsia="fr-FR"/>
        </w:rPr>
        <w:t>(</w:t>
      </w:r>
      <w:r w:rsidR="00B46CAE">
        <w:rPr>
          <w:rFonts w:eastAsia="Times New Roman" w:cstheme="minorHAnsi"/>
          <w:lang w:eastAsia="fr-FR"/>
        </w:rPr>
        <w:t>s</w:t>
      </w:r>
      <w:r>
        <w:rPr>
          <w:rFonts w:eastAsia="Times New Roman" w:cstheme="minorHAnsi"/>
          <w:lang w:eastAsia="fr-FR"/>
        </w:rPr>
        <w:t>)</w:t>
      </w:r>
      <w:r w:rsidR="00B46CAE">
        <w:rPr>
          <w:rFonts w:eastAsia="Times New Roman" w:cstheme="minorHAnsi"/>
          <w:lang w:eastAsia="fr-FR"/>
        </w:rPr>
        <w:t xml:space="preserve"> clinique</w:t>
      </w:r>
      <w:r>
        <w:rPr>
          <w:rFonts w:eastAsia="Times New Roman" w:cstheme="minorHAnsi"/>
          <w:lang w:eastAsia="fr-FR"/>
        </w:rPr>
        <w:t>(</w:t>
      </w:r>
      <w:r w:rsidR="00B46CAE">
        <w:rPr>
          <w:rFonts w:eastAsia="Times New Roman" w:cstheme="minorHAnsi"/>
          <w:lang w:eastAsia="fr-FR"/>
        </w:rPr>
        <w:t>s</w:t>
      </w:r>
      <w:r>
        <w:rPr>
          <w:rFonts w:eastAsia="Times New Roman" w:cstheme="minorHAnsi"/>
          <w:lang w:eastAsia="fr-FR"/>
        </w:rPr>
        <w:t>)</w:t>
      </w:r>
      <w:r w:rsidR="00B46CAE">
        <w:rPr>
          <w:rFonts w:eastAsia="Times New Roman" w:cstheme="minorHAnsi"/>
          <w:lang w:eastAsia="fr-FR"/>
        </w:rPr>
        <w:t xml:space="preserve"> </w:t>
      </w:r>
      <w:r w:rsidR="00955C5E">
        <w:rPr>
          <w:rFonts w:eastAsia="Times New Roman" w:cstheme="minorHAnsi"/>
          <w:lang w:eastAsia="fr-FR"/>
        </w:rPr>
        <w:t>peut/doit envisager</w:t>
      </w:r>
      <w:r w:rsidR="00B46CAE">
        <w:rPr>
          <w:rFonts w:eastAsia="Times New Roman" w:cstheme="minorHAnsi"/>
          <w:lang w:eastAsia="fr-FR"/>
        </w:rPr>
        <w:t xml:space="preserve"> </w:t>
      </w:r>
      <w:r w:rsidR="00685B2E" w:rsidRPr="00937576">
        <w:rPr>
          <w:rFonts w:eastAsia="Times New Roman" w:cstheme="minorHAnsi"/>
          <w:lang w:eastAsia="fr-FR"/>
        </w:rPr>
        <w:t>le promoteur à la suite de cette étude ?</w:t>
      </w:r>
    </w:p>
    <w:p w:rsidR="005B4B00" w:rsidRPr="00050447" w:rsidRDefault="005B4B00" w:rsidP="005B4B00">
      <w:pPr>
        <w:pStyle w:val="Paragraphedeliste"/>
        <w:shd w:val="clear" w:color="auto" w:fill="FFFFFF"/>
        <w:spacing w:after="240" w:line="480" w:lineRule="auto"/>
        <w:ind w:left="714" w:right="-709"/>
        <w:jc w:val="both"/>
        <w:rPr>
          <w:rFonts w:eastAsia="Times New Roman" w:cstheme="minorHAnsi"/>
          <w:lang w:eastAsia="fr-FR"/>
        </w:rPr>
      </w:pPr>
      <w:r>
        <w:rPr>
          <w:rFonts w:eastAsia="Times New Roman" w:cstheme="minorHAnsi"/>
          <w:lang w:eastAsia="fr-FR"/>
        </w:rPr>
        <w:t>Etude contrôlée vs. PARPi seul : mise en évidence d’un bénéfice de l’adjonction de l’immunothérapi globale ; ou, à défaut, identification de sous-groupes de patients pour lequel le bénéfice existe.</w:t>
      </w:r>
    </w:p>
    <w:sectPr w:rsidR="005B4B00" w:rsidRPr="00050447" w:rsidSect="008A0B21">
      <w:headerReference w:type="default" r:id="rId11"/>
      <w:pgSz w:w="11906" w:h="16838"/>
      <w:pgMar w:top="1417" w:right="1417" w:bottom="1417" w:left="1417" w:header="708" w:footer="708" w:gutter="0"/>
      <w:lnNumType w:countBy="1"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B8D" w:rsidRDefault="00050B8D" w:rsidP="00E111FA">
      <w:pPr>
        <w:spacing w:after="0" w:line="240" w:lineRule="auto"/>
      </w:pPr>
      <w:r>
        <w:separator/>
      </w:r>
    </w:p>
  </w:endnote>
  <w:endnote w:type="continuationSeparator" w:id="0">
    <w:p w:rsidR="00050B8D" w:rsidRDefault="00050B8D" w:rsidP="00E11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B8D" w:rsidRDefault="00050B8D" w:rsidP="00E111FA">
      <w:pPr>
        <w:spacing w:after="0" w:line="240" w:lineRule="auto"/>
      </w:pPr>
      <w:r>
        <w:separator/>
      </w:r>
    </w:p>
  </w:footnote>
  <w:footnote w:type="continuationSeparator" w:id="0">
    <w:p w:rsidR="00050B8D" w:rsidRDefault="00050B8D" w:rsidP="00E11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974232"/>
      <w:docPartObj>
        <w:docPartGallery w:val="Page Numbers (Top of Page)"/>
        <w:docPartUnique/>
      </w:docPartObj>
    </w:sdtPr>
    <w:sdtEndPr/>
    <w:sdtContent>
      <w:p w:rsidR="00E111FA" w:rsidRDefault="00E111FA">
        <w:pPr>
          <w:pStyle w:val="En-tte"/>
          <w:jc w:val="right"/>
        </w:pPr>
        <w:r>
          <w:fldChar w:fldCharType="begin"/>
        </w:r>
        <w:r>
          <w:instrText>PAGE   \* MERGEFORMAT</w:instrText>
        </w:r>
        <w:r>
          <w:fldChar w:fldCharType="separate"/>
        </w:r>
        <w:r w:rsidR="00D86F67">
          <w:rPr>
            <w:noProof/>
          </w:rPr>
          <w:t>1</w:t>
        </w:r>
        <w:r>
          <w:fldChar w:fldCharType="end"/>
        </w:r>
      </w:p>
    </w:sdtContent>
  </w:sdt>
  <w:p w:rsidR="00E111FA" w:rsidRDefault="00E111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A3E97"/>
    <w:multiLevelType w:val="hybridMultilevel"/>
    <w:tmpl w:val="1F544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051DE4"/>
    <w:multiLevelType w:val="hybridMultilevel"/>
    <w:tmpl w:val="2E3AC5D8"/>
    <w:lvl w:ilvl="0" w:tplc="73EA538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274B2BDF"/>
    <w:multiLevelType w:val="hybridMultilevel"/>
    <w:tmpl w:val="8006D1E4"/>
    <w:numStyleLink w:val="Prisedenotes"/>
  </w:abstractNum>
  <w:abstractNum w:abstractNumId="3" w15:restartNumberingAfterBreak="0">
    <w:nsid w:val="3CBB7FCD"/>
    <w:multiLevelType w:val="hybridMultilevel"/>
    <w:tmpl w:val="3EDE4F98"/>
    <w:lvl w:ilvl="0" w:tplc="48647C70">
      <w:start w:val="1"/>
      <w:numFmt w:val="lowerLetter"/>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E6A3102"/>
    <w:multiLevelType w:val="hybridMultilevel"/>
    <w:tmpl w:val="8C8EB8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4617B0C"/>
    <w:multiLevelType w:val="multilevel"/>
    <w:tmpl w:val="7B74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756D9C"/>
    <w:multiLevelType w:val="hybridMultilevel"/>
    <w:tmpl w:val="05C0EFAA"/>
    <w:numStyleLink w:val="Tiret"/>
  </w:abstractNum>
  <w:abstractNum w:abstractNumId="7" w15:restartNumberingAfterBreak="0">
    <w:nsid w:val="5D7E6830"/>
    <w:multiLevelType w:val="hybridMultilevel"/>
    <w:tmpl w:val="8006D1E4"/>
    <w:styleLink w:val="Prisedenotes"/>
    <w:lvl w:ilvl="0" w:tplc="A39E7CB8">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1" w:tplc="2FFC3138">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 w:ilvl="2" w:tplc="B570274C">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3" w:tplc="F858E6BC">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 w:ilvl="4" w:tplc="35DA36B8">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5" w:tplc="918C2336">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 w:ilvl="6" w:tplc="4434EBA0">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7" w:tplc="F48C6A6C">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 w:ilvl="8" w:tplc="2FAC59F6">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abstractNum>
  <w:abstractNum w:abstractNumId="8" w15:restartNumberingAfterBreak="0">
    <w:nsid w:val="63092F0C"/>
    <w:multiLevelType w:val="hybridMultilevel"/>
    <w:tmpl w:val="B472EE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2336FAD"/>
    <w:multiLevelType w:val="hybridMultilevel"/>
    <w:tmpl w:val="05C0EFAA"/>
    <w:styleLink w:val="Tiret"/>
    <w:lvl w:ilvl="0" w:tplc="F57632A8">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D81EB790">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9D1478E2">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17D6D1C2">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BD5CE84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984291D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8D22C72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BE0A2A7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B39E57E6">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0" w15:restartNumberingAfterBreak="0">
    <w:nsid w:val="779B51B6"/>
    <w:multiLevelType w:val="multilevel"/>
    <w:tmpl w:val="0814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AA5D7C"/>
    <w:multiLevelType w:val="hybridMultilevel"/>
    <w:tmpl w:val="2954FB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0"/>
  </w:num>
  <w:num w:numId="5">
    <w:abstractNumId w:val="1"/>
  </w:num>
  <w:num w:numId="6">
    <w:abstractNumId w:val="3"/>
  </w:num>
  <w:num w:numId="7">
    <w:abstractNumId w:val="7"/>
  </w:num>
  <w:num w:numId="8">
    <w:abstractNumId w:val="2"/>
  </w:num>
  <w:num w:numId="9">
    <w:abstractNumId w:val="9"/>
  </w:num>
  <w:num w:numId="10">
    <w:abstractNumId w:val="6"/>
  </w:num>
  <w:num w:numId="11">
    <w:abstractNumId w:val="6"/>
    <w:lvlOverride w:ilvl="0">
      <w:lvl w:ilvl="0" w:tplc="BF8E5BA8">
        <w:start w:val="1"/>
        <w:numFmt w:val="bullet"/>
        <w:lvlText w:val="-"/>
        <w:lvlJc w:val="left"/>
        <w:pPr>
          <w:ind w:left="26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C5B67BCA">
        <w:start w:val="1"/>
        <w:numFmt w:val="bullet"/>
        <w:lvlText w:val="-"/>
        <w:lvlJc w:val="left"/>
        <w:pPr>
          <w:ind w:left="50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9800A898">
        <w:start w:val="1"/>
        <w:numFmt w:val="bullet"/>
        <w:lvlText w:val="-"/>
        <w:lvlJc w:val="left"/>
        <w:pPr>
          <w:ind w:left="74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5576F872">
        <w:start w:val="1"/>
        <w:numFmt w:val="bullet"/>
        <w:lvlText w:val="-"/>
        <w:lvlJc w:val="left"/>
        <w:pPr>
          <w:ind w:left="98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E7425AE2">
        <w:start w:val="1"/>
        <w:numFmt w:val="bullet"/>
        <w:lvlText w:val="-"/>
        <w:lvlJc w:val="left"/>
        <w:pPr>
          <w:ind w:left="122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EA8EC7B4">
        <w:start w:val="1"/>
        <w:numFmt w:val="bullet"/>
        <w:lvlText w:val="-"/>
        <w:lvlJc w:val="left"/>
        <w:pPr>
          <w:ind w:left="146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D584BC4A">
        <w:start w:val="1"/>
        <w:numFmt w:val="bullet"/>
        <w:lvlText w:val="-"/>
        <w:lvlJc w:val="left"/>
        <w:pPr>
          <w:ind w:left="170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E166B56A">
        <w:start w:val="1"/>
        <w:numFmt w:val="bullet"/>
        <w:lvlText w:val="-"/>
        <w:lvlJc w:val="left"/>
        <w:pPr>
          <w:ind w:left="194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43D22604">
        <w:start w:val="1"/>
        <w:numFmt w:val="bullet"/>
        <w:lvlText w:val="-"/>
        <w:lvlJc w:val="left"/>
        <w:pPr>
          <w:ind w:left="218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10"/>
    <w:rsid w:val="00050447"/>
    <w:rsid w:val="00050B8D"/>
    <w:rsid w:val="00072440"/>
    <w:rsid w:val="000B37B0"/>
    <w:rsid w:val="001335D3"/>
    <w:rsid w:val="0014674C"/>
    <w:rsid w:val="0014704A"/>
    <w:rsid w:val="001567FB"/>
    <w:rsid w:val="001A56F3"/>
    <w:rsid w:val="001B12E8"/>
    <w:rsid w:val="001E1821"/>
    <w:rsid w:val="001E72FF"/>
    <w:rsid w:val="00217A15"/>
    <w:rsid w:val="00253571"/>
    <w:rsid w:val="00273F8A"/>
    <w:rsid w:val="00281310"/>
    <w:rsid w:val="00287061"/>
    <w:rsid w:val="002D2A77"/>
    <w:rsid w:val="003A55C6"/>
    <w:rsid w:val="003D7306"/>
    <w:rsid w:val="003F07A6"/>
    <w:rsid w:val="004346B4"/>
    <w:rsid w:val="00452A14"/>
    <w:rsid w:val="00452CBB"/>
    <w:rsid w:val="00454AAD"/>
    <w:rsid w:val="004B654E"/>
    <w:rsid w:val="004C5784"/>
    <w:rsid w:val="004E62F3"/>
    <w:rsid w:val="00551292"/>
    <w:rsid w:val="00555DBF"/>
    <w:rsid w:val="00577C3B"/>
    <w:rsid w:val="0059405C"/>
    <w:rsid w:val="005B4B00"/>
    <w:rsid w:val="005E6F3F"/>
    <w:rsid w:val="005F0B8B"/>
    <w:rsid w:val="00620A08"/>
    <w:rsid w:val="00622027"/>
    <w:rsid w:val="006259F7"/>
    <w:rsid w:val="00661DB5"/>
    <w:rsid w:val="00670E64"/>
    <w:rsid w:val="006740D4"/>
    <w:rsid w:val="00685B2E"/>
    <w:rsid w:val="006933D7"/>
    <w:rsid w:val="0069388A"/>
    <w:rsid w:val="006E03BA"/>
    <w:rsid w:val="00715376"/>
    <w:rsid w:val="00777A5D"/>
    <w:rsid w:val="007E6A6F"/>
    <w:rsid w:val="008062F9"/>
    <w:rsid w:val="00813F6F"/>
    <w:rsid w:val="00840C0C"/>
    <w:rsid w:val="008464EA"/>
    <w:rsid w:val="0089060F"/>
    <w:rsid w:val="00891FE5"/>
    <w:rsid w:val="00892D8C"/>
    <w:rsid w:val="008A0B21"/>
    <w:rsid w:val="008C7992"/>
    <w:rsid w:val="008D5EE5"/>
    <w:rsid w:val="00917EB2"/>
    <w:rsid w:val="009342D4"/>
    <w:rsid w:val="00944CA5"/>
    <w:rsid w:val="00946DD9"/>
    <w:rsid w:val="00955C5E"/>
    <w:rsid w:val="009568F3"/>
    <w:rsid w:val="009727C4"/>
    <w:rsid w:val="00974B61"/>
    <w:rsid w:val="00993BE9"/>
    <w:rsid w:val="009A6E4C"/>
    <w:rsid w:val="009B4208"/>
    <w:rsid w:val="00A7771F"/>
    <w:rsid w:val="00A97505"/>
    <w:rsid w:val="00AB0330"/>
    <w:rsid w:val="00AB1FA0"/>
    <w:rsid w:val="00AE645B"/>
    <w:rsid w:val="00AF11D9"/>
    <w:rsid w:val="00B05783"/>
    <w:rsid w:val="00B25185"/>
    <w:rsid w:val="00B352DC"/>
    <w:rsid w:val="00B3703F"/>
    <w:rsid w:val="00B373BF"/>
    <w:rsid w:val="00B46CAE"/>
    <w:rsid w:val="00B63CB5"/>
    <w:rsid w:val="00B67C31"/>
    <w:rsid w:val="00B762DF"/>
    <w:rsid w:val="00B925D6"/>
    <w:rsid w:val="00B93F79"/>
    <w:rsid w:val="00BA3109"/>
    <w:rsid w:val="00BB100A"/>
    <w:rsid w:val="00BB117B"/>
    <w:rsid w:val="00BE57E5"/>
    <w:rsid w:val="00C04049"/>
    <w:rsid w:val="00C57B6B"/>
    <w:rsid w:val="00CB7222"/>
    <w:rsid w:val="00CC7092"/>
    <w:rsid w:val="00D519A5"/>
    <w:rsid w:val="00D75570"/>
    <w:rsid w:val="00D86F67"/>
    <w:rsid w:val="00D951F3"/>
    <w:rsid w:val="00DE63A6"/>
    <w:rsid w:val="00E111FA"/>
    <w:rsid w:val="00E525CE"/>
    <w:rsid w:val="00E52BE3"/>
    <w:rsid w:val="00E732D0"/>
    <w:rsid w:val="00EC1436"/>
    <w:rsid w:val="00FA631B"/>
    <w:rsid w:val="00FD6286"/>
    <w:rsid w:val="00FE4839"/>
    <w:rsid w:val="00FE5B6B"/>
    <w:rsid w:val="00FE67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20547-CBED-4369-8609-2BDCB1D4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335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9727C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Titre3">
    <w:name w:val="heading 3"/>
    <w:basedOn w:val="Normal"/>
    <w:link w:val="Titre3Car"/>
    <w:uiPriority w:val="9"/>
    <w:qFormat/>
    <w:rsid w:val="009727C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Titre4">
    <w:name w:val="heading 4"/>
    <w:basedOn w:val="Normal"/>
    <w:next w:val="Normal"/>
    <w:link w:val="Titre4Car"/>
    <w:uiPriority w:val="9"/>
    <w:semiHidden/>
    <w:unhideWhenUsed/>
    <w:qFormat/>
    <w:rsid w:val="00E52B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1310"/>
    <w:pPr>
      <w:ind w:left="720"/>
      <w:contextualSpacing/>
    </w:pPr>
  </w:style>
  <w:style w:type="paragraph" w:styleId="Textedebulles">
    <w:name w:val="Balloon Text"/>
    <w:basedOn w:val="Normal"/>
    <w:link w:val="TextedebullesCar"/>
    <w:uiPriority w:val="99"/>
    <w:semiHidden/>
    <w:unhideWhenUsed/>
    <w:rsid w:val="00B057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5783"/>
    <w:rPr>
      <w:rFonts w:ascii="Tahoma" w:hAnsi="Tahoma" w:cs="Tahoma"/>
      <w:sz w:val="16"/>
      <w:szCs w:val="16"/>
    </w:rPr>
  </w:style>
  <w:style w:type="character" w:customStyle="1" w:styleId="Titre2Car">
    <w:name w:val="Titre 2 Car"/>
    <w:basedOn w:val="Policepardfaut"/>
    <w:link w:val="Titre2"/>
    <w:uiPriority w:val="9"/>
    <w:rsid w:val="009727C4"/>
    <w:rPr>
      <w:rFonts w:ascii="Times New Roman" w:eastAsia="Times New Roman" w:hAnsi="Times New Roman" w:cs="Times New Roman"/>
      <w:b/>
      <w:bCs/>
      <w:sz w:val="36"/>
      <w:szCs w:val="36"/>
      <w:lang w:val="en-US"/>
    </w:rPr>
  </w:style>
  <w:style w:type="character" w:customStyle="1" w:styleId="Titre3Car">
    <w:name w:val="Titre 3 Car"/>
    <w:basedOn w:val="Policepardfaut"/>
    <w:link w:val="Titre3"/>
    <w:uiPriority w:val="9"/>
    <w:rsid w:val="009727C4"/>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9727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ienhypertexte">
    <w:name w:val="Hyperlink"/>
    <w:basedOn w:val="Policepardfaut"/>
    <w:uiPriority w:val="99"/>
    <w:semiHidden/>
    <w:unhideWhenUsed/>
    <w:rsid w:val="009727C4"/>
    <w:rPr>
      <w:color w:val="0000FF"/>
      <w:u w:val="single"/>
    </w:rPr>
  </w:style>
  <w:style w:type="character" w:styleId="Accentuation">
    <w:name w:val="Emphasis"/>
    <w:basedOn w:val="Policepardfaut"/>
    <w:uiPriority w:val="20"/>
    <w:qFormat/>
    <w:rsid w:val="009727C4"/>
    <w:rPr>
      <w:i/>
      <w:iCs/>
    </w:rPr>
  </w:style>
  <w:style w:type="paragraph" w:styleId="En-tte">
    <w:name w:val="header"/>
    <w:basedOn w:val="Normal"/>
    <w:link w:val="En-tteCar"/>
    <w:uiPriority w:val="99"/>
    <w:unhideWhenUsed/>
    <w:rsid w:val="00E111FA"/>
    <w:pPr>
      <w:tabs>
        <w:tab w:val="center" w:pos="4703"/>
        <w:tab w:val="right" w:pos="9406"/>
      </w:tabs>
      <w:spacing w:after="0" w:line="240" w:lineRule="auto"/>
    </w:pPr>
  </w:style>
  <w:style w:type="character" w:customStyle="1" w:styleId="En-tteCar">
    <w:name w:val="En-tête Car"/>
    <w:basedOn w:val="Policepardfaut"/>
    <w:link w:val="En-tte"/>
    <w:uiPriority w:val="99"/>
    <w:rsid w:val="00E111FA"/>
  </w:style>
  <w:style w:type="paragraph" w:styleId="Pieddepage">
    <w:name w:val="footer"/>
    <w:basedOn w:val="Normal"/>
    <w:link w:val="PieddepageCar"/>
    <w:uiPriority w:val="99"/>
    <w:unhideWhenUsed/>
    <w:rsid w:val="00E111FA"/>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E111FA"/>
  </w:style>
  <w:style w:type="character" w:customStyle="1" w:styleId="Titre1Car">
    <w:name w:val="Titre 1 Car"/>
    <w:basedOn w:val="Policepardfaut"/>
    <w:link w:val="Titre1"/>
    <w:uiPriority w:val="9"/>
    <w:rsid w:val="001335D3"/>
    <w:rPr>
      <w:rFonts w:asciiTheme="majorHAnsi" w:eastAsiaTheme="majorEastAsia" w:hAnsiTheme="majorHAnsi" w:cstheme="majorBidi"/>
      <w:color w:val="2F5496" w:themeColor="accent1" w:themeShade="BF"/>
      <w:sz w:val="32"/>
      <w:szCs w:val="32"/>
    </w:rPr>
  </w:style>
  <w:style w:type="character" w:customStyle="1" w:styleId="ng-binding">
    <w:name w:val="ng-binding"/>
    <w:basedOn w:val="Policepardfaut"/>
    <w:rsid w:val="001335D3"/>
  </w:style>
  <w:style w:type="character" w:customStyle="1" w:styleId="visuallyhidden">
    <w:name w:val="visuallyhidden"/>
    <w:basedOn w:val="Policepardfaut"/>
    <w:rsid w:val="001335D3"/>
  </w:style>
  <w:style w:type="paragraph" w:customStyle="1" w:styleId="source">
    <w:name w:val="source"/>
    <w:basedOn w:val="Normal"/>
    <w:rsid w:val="001335D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ideprint">
    <w:name w:val="hideprint"/>
    <w:basedOn w:val="Normal"/>
    <w:rsid w:val="001335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st-item-label">
    <w:name w:val="list-item-label"/>
    <w:basedOn w:val="Policepardfaut"/>
    <w:rsid w:val="001335D3"/>
  </w:style>
  <w:style w:type="character" w:customStyle="1" w:styleId="html-italic">
    <w:name w:val="html-italic"/>
    <w:basedOn w:val="Policepardfaut"/>
    <w:rsid w:val="00777A5D"/>
  </w:style>
  <w:style w:type="character" w:customStyle="1" w:styleId="Titre4Car">
    <w:name w:val="Titre 4 Car"/>
    <w:basedOn w:val="Policepardfaut"/>
    <w:link w:val="Titre4"/>
    <w:uiPriority w:val="9"/>
    <w:semiHidden/>
    <w:rsid w:val="00E52BE3"/>
    <w:rPr>
      <w:rFonts w:asciiTheme="majorHAnsi" w:eastAsiaTheme="majorEastAsia" w:hAnsiTheme="majorHAnsi" w:cstheme="majorBidi"/>
      <w:i/>
      <w:iCs/>
      <w:color w:val="2F5496" w:themeColor="accent1" w:themeShade="BF"/>
    </w:rPr>
  </w:style>
  <w:style w:type="paragraph" w:customStyle="1" w:styleId="Corps">
    <w:name w:val="Corps"/>
    <w:rsid w:val="005F0B8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character" w:customStyle="1" w:styleId="Aucun">
    <w:name w:val="Aucun"/>
    <w:rsid w:val="005F0B8B"/>
    <w:rPr>
      <w:lang w:val="fr-FR"/>
    </w:rPr>
  </w:style>
  <w:style w:type="numbering" w:customStyle="1" w:styleId="Prisedenotes">
    <w:name w:val="Prise de notes"/>
    <w:rsid w:val="005F0B8B"/>
    <w:pPr>
      <w:numPr>
        <w:numId w:val="7"/>
      </w:numPr>
    </w:pPr>
  </w:style>
  <w:style w:type="numbering" w:customStyle="1" w:styleId="Tiret">
    <w:name w:val="Tiret"/>
    <w:rsid w:val="005F0B8B"/>
    <w:pPr>
      <w:numPr>
        <w:numId w:val="9"/>
      </w:numPr>
    </w:pPr>
  </w:style>
  <w:style w:type="character" w:styleId="Numrodeligne">
    <w:name w:val="line number"/>
    <w:basedOn w:val="Policepardfaut"/>
    <w:uiPriority w:val="99"/>
    <w:semiHidden/>
    <w:unhideWhenUsed/>
    <w:rsid w:val="008A0B21"/>
  </w:style>
  <w:style w:type="paragraph" w:styleId="Textebrut">
    <w:name w:val="Plain Text"/>
    <w:basedOn w:val="Normal"/>
    <w:link w:val="TextebrutCar"/>
    <w:uiPriority w:val="99"/>
    <w:unhideWhenUsed/>
    <w:rsid w:val="00B373BF"/>
    <w:pPr>
      <w:spacing w:after="0" w:line="240" w:lineRule="auto"/>
    </w:pPr>
    <w:rPr>
      <w:rFonts w:ascii="Calibri" w:hAnsi="Calibri"/>
      <w:szCs w:val="21"/>
    </w:rPr>
  </w:style>
  <w:style w:type="character" w:customStyle="1" w:styleId="TextebrutCar">
    <w:name w:val="Texte brut Car"/>
    <w:basedOn w:val="Policepardfaut"/>
    <w:link w:val="Textebrut"/>
    <w:uiPriority w:val="99"/>
    <w:rsid w:val="00B373B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823">
      <w:bodyDiv w:val="1"/>
      <w:marLeft w:val="0"/>
      <w:marRight w:val="0"/>
      <w:marTop w:val="0"/>
      <w:marBottom w:val="0"/>
      <w:divBdr>
        <w:top w:val="none" w:sz="0" w:space="0" w:color="auto"/>
        <w:left w:val="none" w:sz="0" w:space="0" w:color="auto"/>
        <w:bottom w:val="none" w:sz="0" w:space="0" w:color="auto"/>
        <w:right w:val="none" w:sz="0" w:space="0" w:color="auto"/>
      </w:divBdr>
    </w:div>
    <w:div w:id="39287656">
      <w:bodyDiv w:val="1"/>
      <w:marLeft w:val="0"/>
      <w:marRight w:val="0"/>
      <w:marTop w:val="0"/>
      <w:marBottom w:val="0"/>
      <w:divBdr>
        <w:top w:val="none" w:sz="0" w:space="0" w:color="auto"/>
        <w:left w:val="none" w:sz="0" w:space="0" w:color="auto"/>
        <w:bottom w:val="none" w:sz="0" w:space="0" w:color="auto"/>
        <w:right w:val="none" w:sz="0" w:space="0" w:color="auto"/>
      </w:divBdr>
      <w:divsChild>
        <w:div w:id="438574311">
          <w:marLeft w:val="0"/>
          <w:marRight w:val="0"/>
          <w:marTop w:val="0"/>
          <w:marBottom w:val="0"/>
          <w:divBdr>
            <w:top w:val="none" w:sz="0" w:space="0" w:color="auto"/>
            <w:left w:val="none" w:sz="0" w:space="0" w:color="auto"/>
            <w:bottom w:val="none" w:sz="0" w:space="0" w:color="auto"/>
            <w:right w:val="none" w:sz="0" w:space="0" w:color="auto"/>
          </w:divBdr>
        </w:div>
        <w:div w:id="1478761287">
          <w:marLeft w:val="0"/>
          <w:marRight w:val="0"/>
          <w:marTop w:val="0"/>
          <w:marBottom w:val="0"/>
          <w:divBdr>
            <w:top w:val="none" w:sz="0" w:space="0" w:color="auto"/>
            <w:left w:val="none" w:sz="0" w:space="0" w:color="auto"/>
            <w:bottom w:val="none" w:sz="0" w:space="0" w:color="auto"/>
            <w:right w:val="none" w:sz="0" w:space="0" w:color="auto"/>
          </w:divBdr>
        </w:div>
      </w:divsChild>
    </w:div>
    <w:div w:id="251739455">
      <w:bodyDiv w:val="1"/>
      <w:marLeft w:val="0"/>
      <w:marRight w:val="0"/>
      <w:marTop w:val="0"/>
      <w:marBottom w:val="0"/>
      <w:divBdr>
        <w:top w:val="none" w:sz="0" w:space="0" w:color="auto"/>
        <w:left w:val="none" w:sz="0" w:space="0" w:color="auto"/>
        <w:bottom w:val="none" w:sz="0" w:space="0" w:color="auto"/>
        <w:right w:val="none" w:sz="0" w:space="0" w:color="auto"/>
      </w:divBdr>
      <w:divsChild>
        <w:div w:id="1981760334">
          <w:marLeft w:val="0"/>
          <w:marRight w:val="0"/>
          <w:marTop w:val="0"/>
          <w:marBottom w:val="0"/>
          <w:divBdr>
            <w:top w:val="none" w:sz="0" w:space="0" w:color="auto"/>
            <w:left w:val="none" w:sz="0" w:space="0" w:color="auto"/>
            <w:bottom w:val="none" w:sz="0" w:space="0" w:color="auto"/>
            <w:right w:val="none" w:sz="0" w:space="0" w:color="auto"/>
          </w:divBdr>
        </w:div>
        <w:div w:id="481431122">
          <w:marLeft w:val="0"/>
          <w:marRight w:val="0"/>
          <w:marTop w:val="0"/>
          <w:marBottom w:val="0"/>
          <w:divBdr>
            <w:top w:val="none" w:sz="0" w:space="0" w:color="auto"/>
            <w:left w:val="none" w:sz="0" w:space="0" w:color="auto"/>
            <w:bottom w:val="none" w:sz="0" w:space="0" w:color="auto"/>
            <w:right w:val="none" w:sz="0" w:space="0" w:color="auto"/>
          </w:divBdr>
        </w:div>
        <w:div w:id="1862012619">
          <w:marLeft w:val="0"/>
          <w:marRight w:val="0"/>
          <w:marTop w:val="0"/>
          <w:marBottom w:val="0"/>
          <w:divBdr>
            <w:top w:val="none" w:sz="0" w:space="0" w:color="auto"/>
            <w:left w:val="none" w:sz="0" w:space="0" w:color="auto"/>
            <w:bottom w:val="none" w:sz="0" w:space="0" w:color="auto"/>
            <w:right w:val="none" w:sz="0" w:space="0" w:color="auto"/>
          </w:divBdr>
        </w:div>
      </w:divsChild>
    </w:div>
    <w:div w:id="276184455">
      <w:bodyDiv w:val="1"/>
      <w:marLeft w:val="0"/>
      <w:marRight w:val="0"/>
      <w:marTop w:val="0"/>
      <w:marBottom w:val="0"/>
      <w:divBdr>
        <w:top w:val="none" w:sz="0" w:space="0" w:color="auto"/>
        <w:left w:val="none" w:sz="0" w:space="0" w:color="auto"/>
        <w:bottom w:val="none" w:sz="0" w:space="0" w:color="auto"/>
        <w:right w:val="none" w:sz="0" w:space="0" w:color="auto"/>
      </w:divBdr>
    </w:div>
    <w:div w:id="370040066">
      <w:bodyDiv w:val="1"/>
      <w:marLeft w:val="0"/>
      <w:marRight w:val="0"/>
      <w:marTop w:val="0"/>
      <w:marBottom w:val="0"/>
      <w:divBdr>
        <w:top w:val="none" w:sz="0" w:space="0" w:color="auto"/>
        <w:left w:val="none" w:sz="0" w:space="0" w:color="auto"/>
        <w:bottom w:val="none" w:sz="0" w:space="0" w:color="auto"/>
        <w:right w:val="none" w:sz="0" w:space="0" w:color="auto"/>
      </w:divBdr>
    </w:div>
    <w:div w:id="645429640">
      <w:bodyDiv w:val="1"/>
      <w:marLeft w:val="0"/>
      <w:marRight w:val="0"/>
      <w:marTop w:val="0"/>
      <w:marBottom w:val="0"/>
      <w:divBdr>
        <w:top w:val="none" w:sz="0" w:space="0" w:color="auto"/>
        <w:left w:val="none" w:sz="0" w:space="0" w:color="auto"/>
        <w:bottom w:val="none" w:sz="0" w:space="0" w:color="auto"/>
        <w:right w:val="none" w:sz="0" w:space="0" w:color="auto"/>
      </w:divBdr>
      <w:divsChild>
        <w:div w:id="800533778">
          <w:marLeft w:val="0"/>
          <w:marRight w:val="0"/>
          <w:marTop w:val="0"/>
          <w:marBottom w:val="0"/>
          <w:divBdr>
            <w:top w:val="none" w:sz="0" w:space="0" w:color="auto"/>
            <w:left w:val="none" w:sz="0" w:space="0" w:color="auto"/>
            <w:bottom w:val="none" w:sz="0" w:space="0" w:color="auto"/>
            <w:right w:val="none" w:sz="0" w:space="0" w:color="auto"/>
          </w:divBdr>
        </w:div>
      </w:divsChild>
    </w:div>
    <w:div w:id="651905251">
      <w:bodyDiv w:val="1"/>
      <w:marLeft w:val="0"/>
      <w:marRight w:val="0"/>
      <w:marTop w:val="0"/>
      <w:marBottom w:val="0"/>
      <w:divBdr>
        <w:top w:val="none" w:sz="0" w:space="0" w:color="auto"/>
        <w:left w:val="none" w:sz="0" w:space="0" w:color="auto"/>
        <w:bottom w:val="none" w:sz="0" w:space="0" w:color="auto"/>
        <w:right w:val="none" w:sz="0" w:space="0" w:color="auto"/>
      </w:divBdr>
      <w:divsChild>
        <w:div w:id="1439567865">
          <w:marLeft w:val="0"/>
          <w:marRight w:val="0"/>
          <w:marTop w:val="0"/>
          <w:marBottom w:val="0"/>
          <w:divBdr>
            <w:top w:val="none" w:sz="0" w:space="0" w:color="auto"/>
            <w:left w:val="none" w:sz="0" w:space="0" w:color="auto"/>
            <w:bottom w:val="none" w:sz="0" w:space="0" w:color="auto"/>
            <w:right w:val="none" w:sz="0" w:space="0" w:color="auto"/>
          </w:divBdr>
        </w:div>
        <w:div w:id="26683609">
          <w:marLeft w:val="0"/>
          <w:marRight w:val="0"/>
          <w:marTop w:val="0"/>
          <w:marBottom w:val="0"/>
          <w:divBdr>
            <w:top w:val="none" w:sz="0" w:space="0" w:color="auto"/>
            <w:left w:val="none" w:sz="0" w:space="0" w:color="auto"/>
            <w:bottom w:val="none" w:sz="0" w:space="0" w:color="auto"/>
            <w:right w:val="none" w:sz="0" w:space="0" w:color="auto"/>
          </w:divBdr>
          <w:divsChild>
            <w:div w:id="1709527409">
              <w:marLeft w:val="0"/>
              <w:marRight w:val="0"/>
              <w:marTop w:val="0"/>
              <w:marBottom w:val="0"/>
              <w:divBdr>
                <w:top w:val="none" w:sz="0" w:space="0" w:color="auto"/>
                <w:left w:val="none" w:sz="0" w:space="0" w:color="auto"/>
                <w:bottom w:val="none" w:sz="0" w:space="0" w:color="auto"/>
                <w:right w:val="none" w:sz="0" w:space="0" w:color="auto"/>
              </w:divBdr>
              <w:divsChild>
                <w:div w:id="151055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06752">
      <w:bodyDiv w:val="1"/>
      <w:marLeft w:val="0"/>
      <w:marRight w:val="0"/>
      <w:marTop w:val="0"/>
      <w:marBottom w:val="0"/>
      <w:divBdr>
        <w:top w:val="none" w:sz="0" w:space="0" w:color="auto"/>
        <w:left w:val="none" w:sz="0" w:space="0" w:color="auto"/>
        <w:bottom w:val="none" w:sz="0" w:space="0" w:color="auto"/>
        <w:right w:val="none" w:sz="0" w:space="0" w:color="auto"/>
      </w:divBdr>
      <w:divsChild>
        <w:div w:id="255332542">
          <w:marLeft w:val="0"/>
          <w:marRight w:val="0"/>
          <w:marTop w:val="0"/>
          <w:marBottom w:val="0"/>
          <w:divBdr>
            <w:top w:val="none" w:sz="0" w:space="0" w:color="auto"/>
            <w:left w:val="none" w:sz="0" w:space="0" w:color="auto"/>
            <w:bottom w:val="none" w:sz="0" w:space="0" w:color="auto"/>
            <w:right w:val="none" w:sz="0" w:space="0" w:color="auto"/>
          </w:divBdr>
          <w:divsChild>
            <w:div w:id="1457722123">
              <w:marLeft w:val="0"/>
              <w:marRight w:val="0"/>
              <w:marTop w:val="0"/>
              <w:marBottom w:val="0"/>
              <w:divBdr>
                <w:top w:val="none" w:sz="0" w:space="0" w:color="auto"/>
                <w:left w:val="none" w:sz="0" w:space="0" w:color="auto"/>
                <w:bottom w:val="none" w:sz="0" w:space="0" w:color="auto"/>
                <w:right w:val="none" w:sz="0" w:space="0" w:color="auto"/>
              </w:divBdr>
            </w:div>
          </w:divsChild>
        </w:div>
        <w:div w:id="1704020835">
          <w:marLeft w:val="0"/>
          <w:marRight w:val="0"/>
          <w:marTop w:val="0"/>
          <w:marBottom w:val="0"/>
          <w:divBdr>
            <w:top w:val="none" w:sz="0" w:space="0" w:color="auto"/>
            <w:left w:val="none" w:sz="0" w:space="0" w:color="auto"/>
            <w:bottom w:val="none" w:sz="0" w:space="0" w:color="auto"/>
            <w:right w:val="none" w:sz="0" w:space="0" w:color="auto"/>
          </w:divBdr>
          <w:divsChild>
            <w:div w:id="57020500">
              <w:marLeft w:val="0"/>
              <w:marRight w:val="0"/>
              <w:marTop w:val="0"/>
              <w:marBottom w:val="0"/>
              <w:divBdr>
                <w:top w:val="none" w:sz="0" w:space="0" w:color="auto"/>
                <w:left w:val="none" w:sz="0" w:space="0" w:color="auto"/>
                <w:bottom w:val="none" w:sz="0" w:space="0" w:color="auto"/>
                <w:right w:val="none" w:sz="0" w:space="0" w:color="auto"/>
              </w:divBdr>
            </w:div>
          </w:divsChild>
        </w:div>
        <w:div w:id="1117673675">
          <w:marLeft w:val="0"/>
          <w:marRight w:val="0"/>
          <w:marTop w:val="0"/>
          <w:marBottom w:val="0"/>
          <w:divBdr>
            <w:top w:val="none" w:sz="0" w:space="0" w:color="auto"/>
            <w:left w:val="none" w:sz="0" w:space="0" w:color="auto"/>
            <w:bottom w:val="none" w:sz="0" w:space="0" w:color="auto"/>
            <w:right w:val="none" w:sz="0" w:space="0" w:color="auto"/>
          </w:divBdr>
          <w:divsChild>
            <w:div w:id="1019937160">
              <w:marLeft w:val="0"/>
              <w:marRight w:val="0"/>
              <w:marTop w:val="0"/>
              <w:marBottom w:val="0"/>
              <w:divBdr>
                <w:top w:val="none" w:sz="0" w:space="0" w:color="auto"/>
                <w:left w:val="none" w:sz="0" w:space="0" w:color="auto"/>
                <w:bottom w:val="none" w:sz="0" w:space="0" w:color="auto"/>
                <w:right w:val="none" w:sz="0" w:space="0" w:color="auto"/>
              </w:divBdr>
            </w:div>
          </w:divsChild>
        </w:div>
        <w:div w:id="1322079992">
          <w:marLeft w:val="0"/>
          <w:marRight w:val="0"/>
          <w:marTop w:val="0"/>
          <w:marBottom w:val="0"/>
          <w:divBdr>
            <w:top w:val="none" w:sz="0" w:space="0" w:color="auto"/>
            <w:left w:val="none" w:sz="0" w:space="0" w:color="auto"/>
            <w:bottom w:val="none" w:sz="0" w:space="0" w:color="auto"/>
            <w:right w:val="none" w:sz="0" w:space="0" w:color="auto"/>
          </w:divBdr>
          <w:divsChild>
            <w:div w:id="2048217853">
              <w:marLeft w:val="0"/>
              <w:marRight w:val="0"/>
              <w:marTop w:val="0"/>
              <w:marBottom w:val="0"/>
              <w:divBdr>
                <w:top w:val="none" w:sz="0" w:space="0" w:color="auto"/>
                <w:left w:val="none" w:sz="0" w:space="0" w:color="auto"/>
                <w:bottom w:val="none" w:sz="0" w:space="0" w:color="auto"/>
                <w:right w:val="none" w:sz="0" w:space="0" w:color="auto"/>
              </w:divBdr>
            </w:div>
          </w:divsChild>
        </w:div>
        <w:div w:id="1546719711">
          <w:marLeft w:val="0"/>
          <w:marRight w:val="0"/>
          <w:marTop w:val="0"/>
          <w:marBottom w:val="0"/>
          <w:divBdr>
            <w:top w:val="none" w:sz="0" w:space="0" w:color="auto"/>
            <w:left w:val="none" w:sz="0" w:space="0" w:color="auto"/>
            <w:bottom w:val="none" w:sz="0" w:space="0" w:color="auto"/>
            <w:right w:val="none" w:sz="0" w:space="0" w:color="auto"/>
          </w:divBdr>
          <w:divsChild>
            <w:div w:id="20933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7358">
      <w:bodyDiv w:val="1"/>
      <w:marLeft w:val="0"/>
      <w:marRight w:val="0"/>
      <w:marTop w:val="0"/>
      <w:marBottom w:val="0"/>
      <w:divBdr>
        <w:top w:val="none" w:sz="0" w:space="0" w:color="auto"/>
        <w:left w:val="none" w:sz="0" w:space="0" w:color="auto"/>
        <w:bottom w:val="none" w:sz="0" w:space="0" w:color="auto"/>
        <w:right w:val="none" w:sz="0" w:space="0" w:color="auto"/>
      </w:divBdr>
      <w:divsChild>
        <w:div w:id="620571600">
          <w:marLeft w:val="0"/>
          <w:marRight w:val="0"/>
          <w:marTop w:val="0"/>
          <w:marBottom w:val="0"/>
          <w:divBdr>
            <w:top w:val="none" w:sz="0" w:space="0" w:color="auto"/>
            <w:left w:val="none" w:sz="0" w:space="0" w:color="auto"/>
            <w:bottom w:val="none" w:sz="0" w:space="0" w:color="auto"/>
            <w:right w:val="none" w:sz="0" w:space="0" w:color="auto"/>
          </w:divBdr>
        </w:div>
        <w:div w:id="1379471275">
          <w:marLeft w:val="0"/>
          <w:marRight w:val="0"/>
          <w:marTop w:val="0"/>
          <w:marBottom w:val="0"/>
          <w:divBdr>
            <w:top w:val="none" w:sz="0" w:space="0" w:color="auto"/>
            <w:left w:val="none" w:sz="0" w:space="0" w:color="auto"/>
            <w:bottom w:val="none" w:sz="0" w:space="0" w:color="auto"/>
            <w:right w:val="none" w:sz="0" w:space="0" w:color="auto"/>
          </w:divBdr>
        </w:div>
        <w:div w:id="544870342">
          <w:marLeft w:val="0"/>
          <w:marRight w:val="0"/>
          <w:marTop w:val="0"/>
          <w:marBottom w:val="0"/>
          <w:divBdr>
            <w:top w:val="none" w:sz="0" w:space="0" w:color="auto"/>
            <w:left w:val="none" w:sz="0" w:space="0" w:color="auto"/>
            <w:bottom w:val="none" w:sz="0" w:space="0" w:color="auto"/>
            <w:right w:val="none" w:sz="0" w:space="0" w:color="auto"/>
          </w:divBdr>
        </w:div>
        <w:div w:id="824391939">
          <w:marLeft w:val="0"/>
          <w:marRight w:val="0"/>
          <w:marTop w:val="0"/>
          <w:marBottom w:val="0"/>
          <w:divBdr>
            <w:top w:val="none" w:sz="0" w:space="0" w:color="auto"/>
            <w:left w:val="none" w:sz="0" w:space="0" w:color="auto"/>
            <w:bottom w:val="none" w:sz="0" w:space="0" w:color="auto"/>
            <w:right w:val="none" w:sz="0" w:space="0" w:color="auto"/>
          </w:divBdr>
        </w:div>
      </w:divsChild>
    </w:div>
    <w:div w:id="1336499366">
      <w:bodyDiv w:val="1"/>
      <w:marLeft w:val="0"/>
      <w:marRight w:val="0"/>
      <w:marTop w:val="0"/>
      <w:marBottom w:val="0"/>
      <w:divBdr>
        <w:top w:val="none" w:sz="0" w:space="0" w:color="auto"/>
        <w:left w:val="none" w:sz="0" w:space="0" w:color="auto"/>
        <w:bottom w:val="none" w:sz="0" w:space="0" w:color="auto"/>
        <w:right w:val="none" w:sz="0" w:space="0" w:color="auto"/>
      </w:divBdr>
      <w:divsChild>
        <w:div w:id="229968982">
          <w:marLeft w:val="0"/>
          <w:marRight w:val="0"/>
          <w:marTop w:val="0"/>
          <w:marBottom w:val="0"/>
          <w:divBdr>
            <w:top w:val="none" w:sz="0" w:space="0" w:color="auto"/>
            <w:left w:val="none" w:sz="0" w:space="0" w:color="auto"/>
            <w:bottom w:val="none" w:sz="0" w:space="0" w:color="auto"/>
            <w:right w:val="none" w:sz="0" w:space="0" w:color="auto"/>
          </w:divBdr>
        </w:div>
        <w:div w:id="1362126203">
          <w:marLeft w:val="0"/>
          <w:marRight w:val="0"/>
          <w:marTop w:val="0"/>
          <w:marBottom w:val="0"/>
          <w:divBdr>
            <w:top w:val="none" w:sz="0" w:space="0" w:color="auto"/>
            <w:left w:val="none" w:sz="0" w:space="0" w:color="auto"/>
            <w:bottom w:val="none" w:sz="0" w:space="0" w:color="auto"/>
            <w:right w:val="none" w:sz="0" w:space="0" w:color="auto"/>
          </w:divBdr>
        </w:div>
        <w:div w:id="1261254804">
          <w:marLeft w:val="0"/>
          <w:marRight w:val="0"/>
          <w:marTop w:val="0"/>
          <w:marBottom w:val="0"/>
          <w:divBdr>
            <w:top w:val="none" w:sz="0" w:space="0" w:color="auto"/>
            <w:left w:val="none" w:sz="0" w:space="0" w:color="auto"/>
            <w:bottom w:val="none" w:sz="0" w:space="0" w:color="auto"/>
            <w:right w:val="none" w:sz="0" w:space="0" w:color="auto"/>
          </w:divBdr>
        </w:div>
        <w:div w:id="358043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nicaltrials.gov/ct2/results?term=NCT027340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linicaltrial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linicalkey.fr/sec1" TargetMode="External"/><Relationship Id="rId4" Type="http://schemas.openxmlformats.org/officeDocument/2006/relationships/webSettings" Target="webSettings.xml"/><Relationship Id="rId9" Type="http://schemas.openxmlformats.org/officeDocument/2006/relationships/hyperlink" Target="https://www.clinicalkey.fr/tbl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2490</Words>
  <Characters>13700</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Chatelut</dc:creator>
  <cp:lastModifiedBy>Chatelut Etienne</cp:lastModifiedBy>
  <cp:revision>2</cp:revision>
  <cp:lastPrinted>2021-01-11T13:55:00Z</cp:lastPrinted>
  <dcterms:created xsi:type="dcterms:W3CDTF">2021-01-20T08:39:00Z</dcterms:created>
  <dcterms:modified xsi:type="dcterms:W3CDTF">2021-01-20T08:39:00Z</dcterms:modified>
</cp:coreProperties>
</file>