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783" w:rsidRPr="00CB7222" w:rsidRDefault="003D7306" w:rsidP="00CB7222">
      <w:pPr>
        <w:jc w:val="center"/>
        <w:rPr>
          <w:b/>
          <w:sz w:val="32"/>
          <w:szCs w:val="32"/>
        </w:rPr>
      </w:pPr>
      <w:r w:rsidRPr="00CB7222">
        <w:rPr>
          <w:b/>
          <w:sz w:val="32"/>
          <w:szCs w:val="32"/>
        </w:rPr>
        <w:t>Epreuve de l’UE O3 M</w:t>
      </w:r>
      <w:r w:rsidR="00CC7092">
        <w:rPr>
          <w:b/>
          <w:sz w:val="32"/>
          <w:szCs w:val="32"/>
        </w:rPr>
        <w:t>2 Pharmacologie Filière Pro 2018-2019</w:t>
      </w:r>
    </w:p>
    <w:p w:rsidR="003D7306" w:rsidRPr="00CB7222" w:rsidRDefault="00CC7092" w:rsidP="00CB7222">
      <w:pPr>
        <w:jc w:val="center"/>
        <w:rPr>
          <w:b/>
          <w:sz w:val="32"/>
          <w:szCs w:val="32"/>
        </w:rPr>
      </w:pPr>
      <w:r>
        <w:rPr>
          <w:b/>
          <w:sz w:val="32"/>
          <w:szCs w:val="32"/>
        </w:rPr>
        <w:t xml:space="preserve">22 </w:t>
      </w:r>
      <w:r w:rsidR="003D7306" w:rsidRPr="00CB7222">
        <w:rPr>
          <w:b/>
          <w:sz w:val="32"/>
          <w:szCs w:val="32"/>
        </w:rPr>
        <w:t xml:space="preserve">janvier </w:t>
      </w:r>
      <w:r w:rsidR="00273F8A">
        <w:rPr>
          <w:b/>
          <w:sz w:val="32"/>
          <w:szCs w:val="32"/>
        </w:rPr>
        <w:t xml:space="preserve">2019 </w:t>
      </w:r>
      <w:r w:rsidR="003D7306" w:rsidRPr="00CB7222">
        <w:rPr>
          <w:b/>
          <w:sz w:val="32"/>
          <w:szCs w:val="32"/>
        </w:rPr>
        <w:t>de 10h à 12h</w:t>
      </w:r>
    </w:p>
    <w:p w:rsidR="00CC7092" w:rsidRDefault="00CC7092" w:rsidP="00EC1436">
      <w:pPr>
        <w:rPr>
          <w:b/>
          <w:sz w:val="28"/>
          <w:szCs w:val="28"/>
        </w:rPr>
      </w:pPr>
    </w:p>
    <w:p w:rsidR="00273F8A" w:rsidRPr="00EC1436" w:rsidRDefault="00BB117B" w:rsidP="00EC1436">
      <w:pPr>
        <w:rPr>
          <w:b/>
          <w:sz w:val="28"/>
          <w:szCs w:val="28"/>
        </w:rPr>
      </w:pPr>
      <w:r w:rsidRPr="00EC1436">
        <w:rPr>
          <w:b/>
          <w:sz w:val="28"/>
          <w:szCs w:val="28"/>
        </w:rPr>
        <w:t>Question A</w:t>
      </w:r>
      <w:r w:rsidR="00273F8A" w:rsidRPr="00EC1436">
        <w:rPr>
          <w:b/>
          <w:sz w:val="28"/>
          <w:szCs w:val="28"/>
        </w:rPr>
        <w:t> :</w:t>
      </w:r>
      <w:r w:rsidRPr="00EC1436">
        <w:rPr>
          <w:b/>
          <w:sz w:val="28"/>
          <w:szCs w:val="28"/>
        </w:rPr>
        <w:t xml:space="preserve"> </w:t>
      </w:r>
      <w:r w:rsidR="00273F8A" w:rsidRPr="00CC7092">
        <w:rPr>
          <w:sz w:val="28"/>
          <w:szCs w:val="28"/>
        </w:rPr>
        <w:t>Citer les principales méthodes d’explorations fonctionnelles de la peau et préciser leurs principales applic</w:t>
      </w:r>
      <w:r w:rsidR="00CC7092">
        <w:rPr>
          <w:sz w:val="28"/>
          <w:szCs w:val="28"/>
        </w:rPr>
        <w:t xml:space="preserve">ations dans le cadre des essais </w:t>
      </w:r>
      <w:r w:rsidR="00944CA5">
        <w:rPr>
          <w:sz w:val="28"/>
          <w:szCs w:val="28"/>
        </w:rPr>
        <w:t>cliniques de médicaments topiques.</w:t>
      </w:r>
    </w:p>
    <w:p w:rsidR="00CC7092" w:rsidRDefault="00CC7092" w:rsidP="00BB117B">
      <w:pPr>
        <w:pStyle w:val="source"/>
        <w:rPr>
          <w:rFonts w:asciiTheme="minorHAnsi" w:hAnsiTheme="minorHAnsi" w:cstheme="minorHAnsi"/>
          <w:b/>
          <w:sz w:val="28"/>
          <w:szCs w:val="28"/>
        </w:rPr>
      </w:pPr>
    </w:p>
    <w:p w:rsidR="00CB7222" w:rsidRPr="00BB117B" w:rsidRDefault="00BB117B" w:rsidP="00BB117B">
      <w:pPr>
        <w:pStyle w:val="source"/>
      </w:pPr>
      <w:r w:rsidRPr="00EC1436">
        <w:rPr>
          <w:rFonts w:asciiTheme="minorHAnsi" w:hAnsiTheme="minorHAnsi" w:cstheme="minorHAnsi"/>
          <w:b/>
          <w:sz w:val="28"/>
          <w:szCs w:val="28"/>
        </w:rPr>
        <w:t>Question B</w:t>
      </w:r>
      <w:r w:rsidR="00EC1436">
        <w:rPr>
          <w:rFonts w:asciiTheme="minorHAnsi" w:hAnsiTheme="minorHAnsi" w:cstheme="minorHAnsi"/>
          <w:b/>
          <w:sz w:val="28"/>
          <w:szCs w:val="28"/>
        </w:rPr>
        <w:t xml:space="preserve"> </w:t>
      </w:r>
      <w:proofErr w:type="gramStart"/>
      <w:r w:rsidR="00CB7222" w:rsidRPr="00EC1436">
        <w:rPr>
          <w:b/>
          <w:sz w:val="28"/>
          <w:szCs w:val="28"/>
        </w:rPr>
        <w:t>:</w:t>
      </w:r>
      <w:r w:rsidRPr="00BB117B">
        <w:rPr>
          <w:b/>
        </w:rPr>
        <w:t xml:space="preserve">  </w:t>
      </w:r>
      <w:r w:rsidR="00944CA5" w:rsidRPr="00891FE5">
        <w:t>Sont</w:t>
      </w:r>
      <w:proofErr w:type="gramEnd"/>
      <w:r w:rsidR="00944CA5" w:rsidRPr="00891FE5">
        <w:t xml:space="preserve"> extraits d’un article publié dans</w:t>
      </w:r>
      <w:r w:rsidRPr="00891FE5">
        <w:t xml:space="preserve"> E</w:t>
      </w:r>
      <w:r w:rsidR="00891FE5">
        <w:t>uropean Journal of Cancer publié en 2018 (</w:t>
      </w:r>
      <w:r w:rsidR="00EC1436" w:rsidRPr="00891FE5">
        <w:t>Vol.</w:t>
      </w:r>
      <w:r w:rsidRPr="00891FE5">
        <w:t xml:space="preserve"> 96, Pages 6-16</w:t>
      </w:r>
      <w:r w:rsidR="00891FE5">
        <w:t>)</w:t>
      </w:r>
      <w:r w:rsidRPr="00891FE5">
        <w:t> :</w:t>
      </w:r>
    </w:p>
    <w:p w:rsidR="001335D3" w:rsidRPr="00891FE5" w:rsidRDefault="001335D3" w:rsidP="001335D3">
      <w:pPr>
        <w:pStyle w:val="Titre1"/>
        <w:rPr>
          <w:rFonts w:ascii="Times New Roman" w:hAnsi="Times New Roman" w:cs="Times New Roman"/>
          <w:b/>
          <w:color w:val="auto"/>
          <w:sz w:val="28"/>
          <w:szCs w:val="28"/>
          <w:lang w:val="en-US"/>
        </w:rPr>
      </w:pPr>
      <w:r w:rsidRPr="00891FE5">
        <w:rPr>
          <w:rStyle w:val="ng-binding"/>
          <w:rFonts w:ascii="Times New Roman" w:hAnsi="Times New Roman" w:cs="Times New Roman"/>
          <w:b/>
          <w:color w:val="auto"/>
          <w:sz w:val="28"/>
          <w:szCs w:val="28"/>
          <w:lang w:val="en-US"/>
        </w:rPr>
        <w:t xml:space="preserve">First-in human, phase 1, dose-escalation pharmacokinetic and </w:t>
      </w:r>
      <w:proofErr w:type="spellStart"/>
      <w:r w:rsidRPr="00891FE5">
        <w:rPr>
          <w:rStyle w:val="ng-binding"/>
          <w:rFonts w:ascii="Times New Roman" w:hAnsi="Times New Roman" w:cs="Times New Roman"/>
          <w:b/>
          <w:color w:val="auto"/>
          <w:sz w:val="28"/>
          <w:szCs w:val="28"/>
          <w:lang w:val="en-US"/>
        </w:rPr>
        <w:t>pharmacodynamic</w:t>
      </w:r>
      <w:proofErr w:type="spellEnd"/>
      <w:r w:rsidRPr="00891FE5">
        <w:rPr>
          <w:rStyle w:val="ng-binding"/>
          <w:rFonts w:ascii="Times New Roman" w:hAnsi="Times New Roman" w:cs="Times New Roman"/>
          <w:b/>
          <w:color w:val="auto"/>
          <w:sz w:val="28"/>
          <w:szCs w:val="28"/>
          <w:lang w:val="en-US"/>
        </w:rPr>
        <w:t xml:space="preserve"> study of the oral dual PI3K and mTORC1/2 inhibitor PQR309 in patients with advanced solid tumors (SAKK 67/13)</w:t>
      </w:r>
      <w:r w:rsidRPr="00891FE5">
        <w:rPr>
          <w:rFonts w:ascii="Times New Roman" w:hAnsi="Times New Roman" w:cs="Times New Roman"/>
          <w:b/>
          <w:color w:val="auto"/>
          <w:sz w:val="28"/>
          <w:szCs w:val="28"/>
          <w:lang w:val="en-US"/>
        </w:rPr>
        <w:t xml:space="preserve"> </w:t>
      </w:r>
    </w:p>
    <w:p w:rsidR="001335D3" w:rsidRDefault="001335D3" w:rsidP="001335D3">
      <w:pPr>
        <w:pStyle w:val="Titre2"/>
      </w:pPr>
      <w:r>
        <w:t xml:space="preserve">Abstract </w:t>
      </w:r>
    </w:p>
    <w:p w:rsidR="001335D3" w:rsidRPr="00BB117B" w:rsidRDefault="001335D3" w:rsidP="001335D3">
      <w:pPr>
        <w:pStyle w:val="Titre2"/>
        <w:rPr>
          <w:sz w:val="28"/>
          <w:szCs w:val="28"/>
        </w:rPr>
      </w:pPr>
      <w:r w:rsidRPr="00BB117B">
        <w:rPr>
          <w:sz w:val="28"/>
          <w:szCs w:val="28"/>
        </w:rPr>
        <w:t xml:space="preserve">Background </w:t>
      </w:r>
    </w:p>
    <w:p w:rsidR="001335D3" w:rsidRDefault="001335D3" w:rsidP="001335D3">
      <w:pPr>
        <w:pStyle w:val="NormalWeb"/>
      </w:pPr>
      <w:r>
        <w:t xml:space="preserve">PQR309 is an orally bioavailable, balanced pan–phosphatidylinositol-3-kinase (PI3K), mammalian target of </w:t>
      </w:r>
      <w:proofErr w:type="spellStart"/>
      <w:r>
        <w:t>rapamycin</w:t>
      </w:r>
      <w:proofErr w:type="spellEnd"/>
      <w:r>
        <w:t xml:space="preserve"> (</w:t>
      </w:r>
      <w:proofErr w:type="spellStart"/>
      <w:r>
        <w:t>mTOR</w:t>
      </w:r>
      <w:proofErr w:type="spellEnd"/>
      <w:r>
        <w:t xml:space="preserve">) C1 and mTORC2 inhibitor. </w:t>
      </w:r>
    </w:p>
    <w:p w:rsidR="001335D3" w:rsidRPr="00BB117B" w:rsidRDefault="001335D3" w:rsidP="001335D3">
      <w:pPr>
        <w:pStyle w:val="Titre2"/>
        <w:rPr>
          <w:sz w:val="28"/>
          <w:szCs w:val="28"/>
        </w:rPr>
      </w:pPr>
      <w:r w:rsidRPr="00BB117B">
        <w:rPr>
          <w:sz w:val="28"/>
          <w:szCs w:val="28"/>
        </w:rPr>
        <w:t xml:space="preserve">Patients and methods </w:t>
      </w:r>
    </w:p>
    <w:p w:rsidR="001335D3" w:rsidRDefault="001335D3" w:rsidP="001335D3">
      <w:pPr>
        <w:pStyle w:val="NormalWeb"/>
      </w:pPr>
      <w:r>
        <w:t>This is an accelerated titration, 3 + 3 dose-escalation, open-label phase I trial of continuous once-daily (OD) PQR309 administration to evaluate the safety, pharmacokinetics (PK) and pharmacodynamics in patien</w:t>
      </w:r>
      <w:r w:rsidR="00EC1436">
        <w:t xml:space="preserve">ts with advanced solid </w:t>
      </w:r>
      <w:proofErr w:type="spellStart"/>
      <w:r w:rsidR="00EC1436">
        <w:t>tumours</w:t>
      </w:r>
      <w:proofErr w:type="spellEnd"/>
      <w:r w:rsidR="00EC1436">
        <w:t>.</w:t>
      </w:r>
    </w:p>
    <w:p w:rsidR="001335D3" w:rsidRPr="00BB117B" w:rsidRDefault="001335D3" w:rsidP="001335D3">
      <w:pPr>
        <w:pStyle w:val="Titre2"/>
        <w:rPr>
          <w:sz w:val="28"/>
          <w:szCs w:val="28"/>
        </w:rPr>
      </w:pPr>
      <w:r w:rsidRPr="00BB117B">
        <w:rPr>
          <w:sz w:val="28"/>
          <w:szCs w:val="28"/>
        </w:rPr>
        <w:t xml:space="preserve">Results </w:t>
      </w:r>
    </w:p>
    <w:p w:rsidR="001335D3" w:rsidRDefault="001335D3" w:rsidP="001335D3">
      <w:pPr>
        <w:pStyle w:val="NormalWeb"/>
      </w:pPr>
      <w:r>
        <w:t xml:space="preserve">Twenty-eight patients were included in six dosing cohorts </w:t>
      </w:r>
      <w:r w:rsidR="0069388A" w:rsidRPr="0069388A">
        <w:rPr>
          <w:b/>
          <w:i/>
        </w:rPr>
        <w:t>(</w:t>
      </w:r>
      <w:proofErr w:type="spellStart"/>
      <w:r w:rsidR="00944CA5">
        <w:rPr>
          <w:b/>
          <w:i/>
        </w:rPr>
        <w:t>voir</w:t>
      </w:r>
      <w:proofErr w:type="spellEnd"/>
      <w:r w:rsidR="00944CA5">
        <w:rPr>
          <w:b/>
          <w:i/>
        </w:rPr>
        <w:t xml:space="preserve"> </w:t>
      </w:r>
      <w:r w:rsidR="00891FE5">
        <w:rPr>
          <w:b/>
          <w:i/>
        </w:rPr>
        <w:t>Question 4</w:t>
      </w:r>
      <w:r w:rsidR="0069388A" w:rsidRPr="0069388A">
        <w:rPr>
          <w:b/>
          <w:i/>
        </w:rPr>
        <w:t>)</w:t>
      </w:r>
      <w:r w:rsidR="0069388A">
        <w:t xml:space="preserve"> </w:t>
      </w:r>
      <w:r>
        <w:t xml:space="preserve">and treated at a daily PQR309 dose ranging from 10 to 150 mg. Common adverse events (AEs; ≥30% patients) included fatigue, </w:t>
      </w:r>
      <w:proofErr w:type="spellStart"/>
      <w:r>
        <w:t>hyperglycaemia</w:t>
      </w:r>
      <w:proofErr w:type="spellEnd"/>
      <w:r>
        <w:t xml:space="preserve">, nausea, </w:t>
      </w:r>
      <w:proofErr w:type="spellStart"/>
      <w:r>
        <w:t>diarrhoea</w:t>
      </w:r>
      <w:proofErr w:type="spellEnd"/>
      <w:r>
        <w:t xml:space="preserve">, constipation, rash, anorexia and vomiting. Grade (G) 3 or 4 drug-related AEs were seen in 13 (46%) and three (11%) patients, respectively. Dose-limiting toxicity (DLT) was observed in two patients at 100 mg OD (&gt;14-d interruption in PQR309 due to G3 rash, G2 </w:t>
      </w:r>
      <w:proofErr w:type="spellStart"/>
      <w:r>
        <w:t>hyperbilirubinaemia</w:t>
      </w:r>
      <w:proofErr w:type="spellEnd"/>
      <w:r>
        <w:t xml:space="preserve">, G4 suicide attempt; dose reduction due to G3 fatigue, G2 </w:t>
      </w:r>
      <w:proofErr w:type="spellStart"/>
      <w:r>
        <w:t>diarrhoea</w:t>
      </w:r>
      <w:proofErr w:type="spellEnd"/>
      <w:r>
        <w:t xml:space="preserve">, G4 </w:t>
      </w:r>
      <w:proofErr w:type="spellStart"/>
      <w:r>
        <w:t>transaminitis</w:t>
      </w:r>
      <w:proofErr w:type="spellEnd"/>
      <w:r>
        <w:t xml:space="preserve">) and one patient at 80 mg (G3 </w:t>
      </w:r>
      <w:proofErr w:type="spellStart"/>
      <w:r>
        <w:t>hyperglycaemia</w:t>
      </w:r>
      <w:proofErr w:type="spellEnd"/>
      <w:r>
        <w:t xml:space="preserve"> &gt;7 d). PK shows fast absorption (T </w:t>
      </w:r>
      <w:r>
        <w:rPr>
          <w:vertAlign w:val="subscript"/>
        </w:rPr>
        <w:t xml:space="preserve">max </w:t>
      </w:r>
      <w:r>
        <w:t xml:space="preserve">1–2 h) and dose proportionality for C </w:t>
      </w:r>
      <w:r>
        <w:rPr>
          <w:vertAlign w:val="subscript"/>
        </w:rPr>
        <w:t xml:space="preserve">max </w:t>
      </w:r>
      <w:r>
        <w:t>and area under the curve</w:t>
      </w:r>
      <w:r w:rsidR="0069388A">
        <w:t xml:space="preserve"> </w:t>
      </w:r>
      <w:r w:rsidR="00287061">
        <w:t>(</w:t>
      </w:r>
      <w:proofErr w:type="spellStart"/>
      <w:r w:rsidR="00287061" w:rsidRPr="00944CA5">
        <w:rPr>
          <w:b/>
          <w:i/>
        </w:rPr>
        <w:t>voir</w:t>
      </w:r>
      <w:proofErr w:type="spellEnd"/>
      <w:r w:rsidR="00287061" w:rsidRPr="00944CA5">
        <w:rPr>
          <w:b/>
          <w:i/>
        </w:rPr>
        <w:t xml:space="preserve"> Question </w:t>
      </w:r>
      <w:r w:rsidR="00287061">
        <w:rPr>
          <w:b/>
          <w:i/>
        </w:rPr>
        <w:t>7</w:t>
      </w:r>
      <w:r w:rsidR="0069388A" w:rsidRPr="0069388A">
        <w:rPr>
          <w:b/>
          <w:i/>
        </w:rPr>
        <w:t>)</w:t>
      </w:r>
      <w:r>
        <w:t xml:space="preserve">. A partial response in a patient with metastatic thymus cancer, 24% disease volume reduction in a patient with </w:t>
      </w:r>
      <w:proofErr w:type="spellStart"/>
      <w:r>
        <w:t>sinonasal</w:t>
      </w:r>
      <w:proofErr w:type="spellEnd"/>
      <w:r>
        <w:t xml:space="preserve"> cancer and stable disease for more than 16 weeks in a patient with clear cell </w:t>
      </w:r>
      <w:proofErr w:type="spellStart"/>
      <w:r>
        <w:t>Bartholin's</w:t>
      </w:r>
      <w:proofErr w:type="spellEnd"/>
      <w:r>
        <w:t xml:space="preserve"> gland cancer were observed. </w:t>
      </w:r>
    </w:p>
    <w:p w:rsidR="001335D3" w:rsidRPr="00BB117B" w:rsidRDefault="001335D3" w:rsidP="001335D3">
      <w:pPr>
        <w:pStyle w:val="Titre2"/>
        <w:rPr>
          <w:sz w:val="28"/>
          <w:szCs w:val="28"/>
        </w:rPr>
      </w:pPr>
      <w:r w:rsidRPr="00BB117B">
        <w:rPr>
          <w:sz w:val="28"/>
          <w:szCs w:val="28"/>
        </w:rPr>
        <w:lastRenderedPageBreak/>
        <w:t xml:space="preserve">Conclusion </w:t>
      </w:r>
    </w:p>
    <w:p w:rsidR="001335D3" w:rsidRDefault="001335D3" w:rsidP="001335D3">
      <w:pPr>
        <w:pStyle w:val="NormalWeb"/>
      </w:pPr>
      <w:r>
        <w:t xml:space="preserve">The MTD and RP2D of PQR309 is 80 mg of orally OD. PK is dose-proportional. PD shows PI3K pathway </w:t>
      </w:r>
      <w:proofErr w:type="spellStart"/>
      <w:r>
        <w:t>phosphoprotein</w:t>
      </w:r>
      <w:proofErr w:type="spellEnd"/>
      <w:r>
        <w:t xml:space="preserve"> </w:t>
      </w:r>
      <w:proofErr w:type="spellStart"/>
      <w:r>
        <w:t>downregulation</w:t>
      </w:r>
      <w:proofErr w:type="spellEnd"/>
      <w:r>
        <w:t xml:space="preserve"> in paired </w:t>
      </w:r>
      <w:proofErr w:type="spellStart"/>
      <w:r>
        <w:t>tumour</w:t>
      </w:r>
      <w:proofErr w:type="spellEnd"/>
      <w:r>
        <w:t xml:space="preserve"> biopsies. Clinical activity was observed in patients with and without PI3K pathway </w:t>
      </w:r>
      <w:proofErr w:type="spellStart"/>
      <w:r>
        <w:t>dysregulation</w:t>
      </w:r>
      <w:proofErr w:type="spellEnd"/>
      <w:r>
        <w:t xml:space="preserve">. </w:t>
      </w:r>
    </w:p>
    <w:p w:rsidR="001335D3" w:rsidRPr="00891FE5" w:rsidRDefault="001335D3" w:rsidP="001335D3">
      <w:pPr>
        <w:pStyle w:val="Titre2"/>
        <w:rPr>
          <w:lang w:val="fr-FR"/>
        </w:rPr>
      </w:pPr>
      <w:proofErr w:type="spellStart"/>
      <w:r w:rsidRPr="00891FE5">
        <w:rPr>
          <w:lang w:val="fr-FR"/>
        </w:rPr>
        <w:t>Highlights</w:t>
      </w:r>
      <w:proofErr w:type="spellEnd"/>
      <w:r w:rsidRPr="00891FE5">
        <w:rPr>
          <w:lang w:val="fr-FR"/>
        </w:rPr>
        <w:t xml:space="preserve"> </w:t>
      </w:r>
      <w:r w:rsidR="00891FE5" w:rsidRPr="00891FE5">
        <w:rPr>
          <w:b w:val="0"/>
          <w:i/>
          <w:lang w:val="fr-FR"/>
        </w:rPr>
        <w:t>(= Principaux résultats de cette étude)</w:t>
      </w:r>
    </w:p>
    <w:p w:rsidR="001335D3" w:rsidRDefault="001335D3" w:rsidP="001335D3">
      <w:pPr>
        <w:pStyle w:val="NormalWeb"/>
        <w:ind w:left="720"/>
      </w:pPr>
      <w:r>
        <w:t xml:space="preserve">The maximum tolerated dose and recommended phase 2 dose of PQR309 is 80 mg orally OD. </w:t>
      </w:r>
    </w:p>
    <w:p w:rsidR="001335D3" w:rsidRDefault="001335D3" w:rsidP="001335D3">
      <w:pPr>
        <w:pStyle w:val="NormalWeb"/>
        <w:ind w:left="720"/>
      </w:pPr>
      <w:r>
        <w:t xml:space="preserve">Pharmacodynamics shows phosphatidylinositol-3-kinase (PI3K)–mammalian target of </w:t>
      </w:r>
      <w:proofErr w:type="spellStart"/>
      <w:r>
        <w:t>rapamycin</w:t>
      </w:r>
      <w:proofErr w:type="spellEnd"/>
      <w:r>
        <w:t xml:space="preserve"> (</w:t>
      </w:r>
      <w:proofErr w:type="spellStart"/>
      <w:r>
        <w:t>mTOR</w:t>
      </w:r>
      <w:proofErr w:type="spellEnd"/>
      <w:r>
        <w:t xml:space="preserve">)–S6 pathway inhibition in paired </w:t>
      </w:r>
      <w:proofErr w:type="spellStart"/>
      <w:r>
        <w:t>tumour</w:t>
      </w:r>
      <w:proofErr w:type="spellEnd"/>
      <w:r>
        <w:t xml:space="preserve"> biopsies</w:t>
      </w:r>
      <w:r w:rsidR="00BA3109">
        <w:t xml:space="preserve"> </w:t>
      </w:r>
      <w:r w:rsidR="00BA3109" w:rsidRPr="00BA3109">
        <w:rPr>
          <w:i/>
        </w:rPr>
        <w:t xml:space="preserve">(= </w:t>
      </w:r>
      <w:proofErr w:type="spellStart"/>
      <w:r w:rsidR="00BA3109" w:rsidRPr="00BA3109">
        <w:rPr>
          <w:i/>
        </w:rPr>
        <w:t>biopsie</w:t>
      </w:r>
      <w:proofErr w:type="spellEnd"/>
      <w:r w:rsidR="00BA3109" w:rsidRPr="00BA3109">
        <w:rPr>
          <w:i/>
        </w:rPr>
        <w:t xml:space="preserve"> </w:t>
      </w:r>
      <w:proofErr w:type="spellStart"/>
      <w:r w:rsidR="00BA3109" w:rsidRPr="00BA3109">
        <w:rPr>
          <w:i/>
        </w:rPr>
        <w:t>tumorale</w:t>
      </w:r>
      <w:proofErr w:type="spellEnd"/>
      <w:r w:rsidR="00BA3109" w:rsidRPr="00BA3109">
        <w:rPr>
          <w:i/>
        </w:rPr>
        <w:t xml:space="preserve"> </w:t>
      </w:r>
      <w:proofErr w:type="spellStart"/>
      <w:r w:rsidR="00BA3109" w:rsidRPr="00BA3109">
        <w:rPr>
          <w:i/>
        </w:rPr>
        <w:t>avant</w:t>
      </w:r>
      <w:proofErr w:type="spellEnd"/>
      <w:r w:rsidR="00BA3109" w:rsidRPr="00BA3109">
        <w:rPr>
          <w:i/>
        </w:rPr>
        <w:t xml:space="preserve"> </w:t>
      </w:r>
      <w:proofErr w:type="gramStart"/>
      <w:r w:rsidR="00BA3109" w:rsidRPr="00BA3109">
        <w:rPr>
          <w:i/>
        </w:rPr>
        <w:t>et</w:t>
      </w:r>
      <w:proofErr w:type="gramEnd"/>
      <w:r w:rsidR="00BA3109" w:rsidRPr="00BA3109">
        <w:rPr>
          <w:i/>
        </w:rPr>
        <w:t xml:space="preserve"> après </w:t>
      </w:r>
      <w:proofErr w:type="spellStart"/>
      <w:r w:rsidR="00BA3109" w:rsidRPr="00BA3109">
        <w:rPr>
          <w:i/>
        </w:rPr>
        <w:t>traitement</w:t>
      </w:r>
      <w:proofErr w:type="spellEnd"/>
      <w:r w:rsidR="00BA3109" w:rsidRPr="00BA3109">
        <w:rPr>
          <w:i/>
        </w:rPr>
        <w:t>)</w:t>
      </w:r>
      <w:r>
        <w:t xml:space="preserve">. </w:t>
      </w:r>
    </w:p>
    <w:p w:rsidR="001335D3" w:rsidRDefault="001335D3" w:rsidP="001335D3">
      <w:pPr>
        <w:pStyle w:val="NormalWeb"/>
        <w:ind w:left="720"/>
      </w:pPr>
      <w:r>
        <w:t xml:space="preserve">Pathway inhibition is more pronounced in patients with </w:t>
      </w:r>
      <w:proofErr w:type="spellStart"/>
      <w:r>
        <w:t>tumour</w:t>
      </w:r>
      <w:proofErr w:type="spellEnd"/>
      <w:r>
        <w:t xml:space="preserve"> shrinkage</w:t>
      </w:r>
      <w:r w:rsidR="004C5784">
        <w:t xml:space="preserve"> </w:t>
      </w:r>
      <w:r w:rsidR="004C5784" w:rsidRPr="00BA3109">
        <w:rPr>
          <w:i/>
        </w:rPr>
        <w:t>(</w:t>
      </w:r>
      <w:r w:rsidR="001B12E8" w:rsidRPr="00BA3109">
        <w:rPr>
          <w:i/>
        </w:rPr>
        <w:t xml:space="preserve">=diminution du volume de la </w:t>
      </w:r>
      <w:proofErr w:type="spellStart"/>
      <w:r w:rsidR="001B12E8" w:rsidRPr="00BA3109">
        <w:rPr>
          <w:i/>
        </w:rPr>
        <w:t>tumeur</w:t>
      </w:r>
      <w:proofErr w:type="spellEnd"/>
      <w:r w:rsidR="001B12E8" w:rsidRPr="00BA3109">
        <w:rPr>
          <w:i/>
        </w:rPr>
        <w:t>”)</w:t>
      </w:r>
      <w:r>
        <w:t xml:space="preserve">. </w:t>
      </w:r>
    </w:p>
    <w:p w:rsidR="001335D3" w:rsidRDefault="001335D3" w:rsidP="001335D3">
      <w:pPr>
        <w:pStyle w:val="NormalWeb"/>
        <w:ind w:left="720"/>
      </w:pPr>
      <w:r>
        <w:t xml:space="preserve">Activity was observed in patients with and without PI3K pathway </w:t>
      </w:r>
      <w:proofErr w:type="spellStart"/>
      <w:r>
        <w:t>dysregulation</w:t>
      </w:r>
      <w:proofErr w:type="spellEnd"/>
      <w:r>
        <w:t xml:space="preserve">. </w:t>
      </w:r>
    </w:p>
    <w:p w:rsidR="001335D3" w:rsidRDefault="001335D3" w:rsidP="001335D3">
      <w:pPr>
        <w:pStyle w:val="Titre2"/>
      </w:pPr>
      <w:r>
        <w:t xml:space="preserve">1 Introduction </w:t>
      </w:r>
    </w:p>
    <w:p w:rsidR="001335D3" w:rsidRPr="004C5784" w:rsidRDefault="001335D3" w:rsidP="00BB117B">
      <w:pPr>
        <w:pStyle w:val="NormalWeb"/>
      </w:pPr>
      <w:r>
        <w:t xml:space="preserve">The phosphatidylinositol-3-kinase (PI3K) and mammalian target of </w:t>
      </w:r>
      <w:proofErr w:type="spellStart"/>
      <w:r>
        <w:t>rapamycin</w:t>
      </w:r>
      <w:proofErr w:type="spellEnd"/>
      <w:r>
        <w:t xml:space="preserve"> (</w:t>
      </w:r>
      <w:proofErr w:type="spellStart"/>
      <w:r>
        <w:t>mTOR</w:t>
      </w:r>
      <w:proofErr w:type="spellEnd"/>
      <w:r>
        <w:t xml:space="preserve">) </w:t>
      </w:r>
      <w:proofErr w:type="spellStart"/>
      <w:r>
        <w:t>signalling</w:t>
      </w:r>
      <w:proofErr w:type="spellEnd"/>
      <w:r>
        <w:t xml:space="preserve"> cascade serves physiological and pathophysiological cell functions and is of major importance in cancer and inflammatory disease. As a key downstream effector of receptor tyrosine kinases (RTKs) and G protein–coupled receptors, PI3K activation initiates a signal transduction pathway that stimulates glucose metabolism, cell proliferation and survival </w:t>
      </w:r>
      <w:r w:rsidR="004C5784">
        <w:t>…</w:t>
      </w:r>
    </w:p>
    <w:p w:rsidR="001335D3" w:rsidRDefault="001335D3" w:rsidP="001335D3">
      <w:pPr>
        <w:pStyle w:val="NormalWeb"/>
      </w:pPr>
      <w:r>
        <w:t xml:space="preserve">PQR309 (PIQUR Therapeutics AG, Basel, Switzerland) is an oral pan-class I PI3K inhibitor that selectively targets all four isoforms of class I PI3K (α, β, γ, δ), with a balanced activity against </w:t>
      </w:r>
      <w:proofErr w:type="spellStart"/>
      <w:r>
        <w:t>mTOR</w:t>
      </w:r>
      <w:proofErr w:type="spellEnd"/>
      <w:r>
        <w:t xml:space="preserve">. It is equipotent against p110α </w:t>
      </w:r>
      <w:r>
        <w:rPr>
          <w:vertAlign w:val="superscript"/>
        </w:rPr>
        <w:t xml:space="preserve">H1047R/E542K/E545K </w:t>
      </w:r>
      <w:r>
        <w:t xml:space="preserve">somatic mutations </w:t>
      </w:r>
      <w:r w:rsidR="004C5784">
        <w:t>often observed in human cancers.</w:t>
      </w:r>
      <w:r w:rsidRPr="004C5784">
        <w:t xml:space="preserve"> PQR309 demonstrates anti-proliferative activity in a variety </w:t>
      </w:r>
      <w:r w:rsidR="004C5784">
        <w:t>… (</w:t>
      </w:r>
      <w:proofErr w:type="spellStart"/>
      <w:r w:rsidR="00944CA5">
        <w:rPr>
          <w:b/>
          <w:i/>
        </w:rPr>
        <w:t>voir</w:t>
      </w:r>
      <w:proofErr w:type="spellEnd"/>
      <w:r w:rsidR="00944CA5">
        <w:rPr>
          <w:b/>
          <w:i/>
        </w:rPr>
        <w:t xml:space="preserve"> Q</w:t>
      </w:r>
      <w:r w:rsidR="004C5784" w:rsidRPr="001B12E8">
        <w:rPr>
          <w:b/>
          <w:i/>
        </w:rPr>
        <w:t>uestion</w:t>
      </w:r>
      <w:r w:rsidR="00944CA5">
        <w:rPr>
          <w:b/>
          <w:i/>
        </w:rPr>
        <w:t xml:space="preserve"> 1</w:t>
      </w:r>
      <w:r w:rsidR="004C5784">
        <w:t>)</w:t>
      </w:r>
      <w:r>
        <w:t xml:space="preserve">. </w:t>
      </w:r>
    </w:p>
    <w:p w:rsidR="001335D3" w:rsidRDefault="001335D3" w:rsidP="001335D3">
      <w:pPr>
        <w:pStyle w:val="NormalWeb"/>
      </w:pPr>
      <w:r>
        <w:t>The primary objectives of this first-in-human, phase 1, dose-e</w:t>
      </w:r>
      <w:r w:rsidR="00072440">
        <w:t>scalation study were to assess the … (</w:t>
      </w:r>
      <w:proofErr w:type="spellStart"/>
      <w:r w:rsidR="00944CA5" w:rsidRPr="00944CA5">
        <w:rPr>
          <w:b/>
          <w:i/>
        </w:rPr>
        <w:t>voir</w:t>
      </w:r>
      <w:proofErr w:type="spellEnd"/>
      <w:r w:rsidR="00944CA5" w:rsidRPr="00944CA5">
        <w:rPr>
          <w:b/>
          <w:i/>
        </w:rPr>
        <w:t xml:space="preserve"> </w:t>
      </w:r>
      <w:r w:rsidR="001B12E8" w:rsidRPr="00944CA5">
        <w:rPr>
          <w:b/>
          <w:i/>
        </w:rPr>
        <w:t>Question</w:t>
      </w:r>
      <w:r w:rsidR="00944CA5" w:rsidRPr="00944CA5">
        <w:rPr>
          <w:b/>
          <w:i/>
        </w:rPr>
        <w:t xml:space="preserve"> </w:t>
      </w:r>
      <w:r w:rsidR="00944CA5">
        <w:rPr>
          <w:b/>
          <w:i/>
        </w:rPr>
        <w:t>2</w:t>
      </w:r>
      <w:r w:rsidR="00072440">
        <w:t>)</w:t>
      </w:r>
      <w:r>
        <w:t xml:space="preserve">. Secondary objectives included </w:t>
      </w:r>
      <w:proofErr w:type="spellStart"/>
      <w:r>
        <w:t>characterisation</w:t>
      </w:r>
      <w:proofErr w:type="spellEnd"/>
      <w:r>
        <w:t xml:space="preserve"> of</w:t>
      </w:r>
      <w:r w:rsidR="001B12E8">
        <w:t xml:space="preserve"> … (</w:t>
      </w:r>
      <w:proofErr w:type="spellStart"/>
      <w:r w:rsidR="00944CA5" w:rsidRPr="00944CA5">
        <w:rPr>
          <w:b/>
          <w:i/>
        </w:rPr>
        <w:t>voir</w:t>
      </w:r>
      <w:proofErr w:type="spellEnd"/>
      <w:r w:rsidR="00944CA5" w:rsidRPr="00944CA5">
        <w:rPr>
          <w:b/>
          <w:i/>
        </w:rPr>
        <w:t xml:space="preserve"> Question </w:t>
      </w:r>
      <w:r w:rsidR="00944CA5">
        <w:rPr>
          <w:b/>
          <w:i/>
        </w:rPr>
        <w:t>2</w:t>
      </w:r>
      <w:r w:rsidR="001B12E8">
        <w:rPr>
          <w:b/>
          <w:i/>
        </w:rPr>
        <w:t>)</w:t>
      </w:r>
      <w:r>
        <w:t xml:space="preserve">. </w:t>
      </w:r>
    </w:p>
    <w:p w:rsidR="001335D3" w:rsidRDefault="001335D3" w:rsidP="001335D3">
      <w:pPr>
        <w:pStyle w:val="Titre2"/>
      </w:pPr>
      <w:r>
        <w:t xml:space="preserve">2 Patients and methods </w:t>
      </w:r>
    </w:p>
    <w:p w:rsidR="001335D3" w:rsidRDefault="001335D3" w:rsidP="001335D3">
      <w:pPr>
        <w:pStyle w:val="Titre2"/>
      </w:pPr>
      <w:r>
        <w:t xml:space="preserve">2.1 Study design </w:t>
      </w:r>
    </w:p>
    <w:p w:rsidR="001335D3" w:rsidRDefault="001335D3" w:rsidP="001335D3">
      <w:pPr>
        <w:pStyle w:val="NormalWeb"/>
      </w:pPr>
      <w:r>
        <w:t>This was a multicenter, open-label first-in-human trial</w:t>
      </w:r>
      <w:r w:rsidR="001B12E8">
        <w:t xml:space="preserve"> (</w:t>
      </w:r>
      <w:proofErr w:type="spellStart"/>
      <w:r w:rsidR="00944CA5" w:rsidRPr="00944CA5">
        <w:rPr>
          <w:b/>
          <w:i/>
        </w:rPr>
        <w:t>voir</w:t>
      </w:r>
      <w:proofErr w:type="spellEnd"/>
      <w:r w:rsidR="00944CA5" w:rsidRPr="00944CA5">
        <w:rPr>
          <w:b/>
          <w:i/>
        </w:rPr>
        <w:t xml:space="preserve"> Question </w:t>
      </w:r>
      <w:r w:rsidR="00944CA5">
        <w:rPr>
          <w:b/>
          <w:i/>
        </w:rPr>
        <w:t>3</w:t>
      </w:r>
      <w:r w:rsidR="001B12E8">
        <w:t>)</w:t>
      </w:r>
      <w:r>
        <w:t>. Based on the no-observed-adverse-effect-level in dogs of 4 mg/kg, the starting dose in humans was 10 mg. An accelerated modified ‘3 + 3’ dose-escalation design was used</w:t>
      </w:r>
      <w:r w:rsidR="00287061">
        <w:t xml:space="preserve"> (</w:t>
      </w:r>
      <w:proofErr w:type="spellStart"/>
      <w:r w:rsidR="00287061" w:rsidRPr="00944CA5">
        <w:rPr>
          <w:b/>
          <w:i/>
        </w:rPr>
        <w:t>voir</w:t>
      </w:r>
      <w:proofErr w:type="spellEnd"/>
      <w:r w:rsidR="00287061" w:rsidRPr="00944CA5">
        <w:rPr>
          <w:b/>
          <w:i/>
        </w:rPr>
        <w:t xml:space="preserve"> Question </w:t>
      </w:r>
      <w:r w:rsidR="00287061">
        <w:rPr>
          <w:b/>
          <w:i/>
        </w:rPr>
        <w:t>5</w:t>
      </w:r>
      <w:proofErr w:type="gramStart"/>
      <w:r w:rsidR="00287061">
        <w:t>)</w:t>
      </w:r>
      <w:r w:rsidR="001B12E8">
        <w:t xml:space="preserve"> </w:t>
      </w:r>
      <w:r>
        <w:t>.</w:t>
      </w:r>
      <w:proofErr w:type="gramEnd"/>
      <w:r>
        <w:t xml:space="preserve"> Dose level 1 and 2 enrolled a single patient. If a drug-related toxicity ≥ grade (G) 2 occurred, two additional patients were to be enrolled at the same dose level and then the trial would continue as a classical 3 + 3. From dose level 3 and thereafter, the classical 3 + 3 design was used. </w:t>
      </w:r>
      <w:r>
        <w:lastRenderedPageBreak/>
        <w:t xml:space="preserve">Doses were increased by 100% between dose levels until dose level 4. After dose level 4 or the first toxicity ≥ G2, subsequent dose levels could increase between 30 and 100%, according to the type and grade of toxicity after discussion with the independent Data Safety Monitoring Board (IDSMB). In dose levels 2 to 4, the administered dose was adjusted according to weight (75% dose if &lt; 60 kg, 125% dose if &gt; 80 kg). Eligible patients received once daily oral PQR309 capsules continuously on a 21-d cycle until progression, unacceptable toxicity, investigator </w:t>
      </w:r>
      <w:proofErr w:type="spellStart"/>
      <w:r>
        <w:t>judgement</w:t>
      </w:r>
      <w:proofErr w:type="spellEnd"/>
      <w:r>
        <w:t xml:space="preserve"> or withdrawal of consent. </w:t>
      </w:r>
      <w:r w:rsidR="00BA3109">
        <w:t>…</w:t>
      </w:r>
    </w:p>
    <w:p w:rsidR="001335D3" w:rsidRDefault="001335D3" w:rsidP="001335D3">
      <w:pPr>
        <w:pStyle w:val="Titre2"/>
      </w:pPr>
      <w:r>
        <w:t xml:space="preserve">2.2 Patients' eligibility </w:t>
      </w:r>
    </w:p>
    <w:p w:rsidR="001335D3" w:rsidRDefault="001335D3" w:rsidP="001335D3">
      <w:pPr>
        <w:pStyle w:val="NormalWeb"/>
      </w:pPr>
      <w:r>
        <w:t xml:space="preserve">The study enrolled adult patients (age ≥ 18 years) with a histological or </w:t>
      </w:r>
      <w:proofErr w:type="spellStart"/>
      <w:r>
        <w:t>cytologically</w:t>
      </w:r>
      <w:proofErr w:type="spellEnd"/>
      <w:r>
        <w:t xml:space="preserve"> confirmed diagnosis of advanced solid </w:t>
      </w:r>
      <w:proofErr w:type="spellStart"/>
      <w:r>
        <w:t>tumour</w:t>
      </w:r>
      <w:proofErr w:type="spellEnd"/>
      <w:r>
        <w:t xml:space="preserve"> and evidence of </w:t>
      </w:r>
      <w:proofErr w:type="spellStart"/>
      <w:r>
        <w:t>tumour</w:t>
      </w:r>
      <w:proofErr w:type="spellEnd"/>
      <w:r>
        <w:t xml:space="preserve"> progression with measurable or evaluable disease. The inclusion criteria were updated after recruitment of the four initial cohorts to require </w:t>
      </w:r>
      <w:proofErr w:type="spellStart"/>
      <w:r>
        <w:t>tumours</w:t>
      </w:r>
      <w:proofErr w:type="spellEnd"/>
      <w:r>
        <w:t xml:space="preserve"> accessible to biopsy</w:t>
      </w:r>
      <w:r w:rsidR="00287061">
        <w:t xml:space="preserve"> (</w:t>
      </w:r>
      <w:proofErr w:type="spellStart"/>
      <w:r w:rsidR="00287061" w:rsidRPr="00944CA5">
        <w:rPr>
          <w:b/>
          <w:i/>
        </w:rPr>
        <w:t>voir</w:t>
      </w:r>
      <w:proofErr w:type="spellEnd"/>
      <w:r w:rsidR="00287061" w:rsidRPr="00944CA5">
        <w:rPr>
          <w:b/>
          <w:i/>
        </w:rPr>
        <w:t xml:space="preserve"> Question </w:t>
      </w:r>
      <w:r w:rsidR="00287061">
        <w:rPr>
          <w:b/>
          <w:i/>
        </w:rPr>
        <w:t>8</w:t>
      </w:r>
      <w:r w:rsidR="00287061">
        <w:t>)</w:t>
      </w:r>
      <w:r w:rsidR="00FE4839">
        <w:t>.</w:t>
      </w:r>
    </w:p>
    <w:p w:rsidR="001335D3" w:rsidRDefault="001335D3" w:rsidP="001335D3">
      <w:pPr>
        <w:pStyle w:val="Titre2"/>
      </w:pPr>
      <w:r>
        <w:t xml:space="preserve">2.3 Dose-limiting toxicity, MTD and management of toxicity </w:t>
      </w:r>
    </w:p>
    <w:p w:rsidR="001335D3" w:rsidRDefault="001335D3" w:rsidP="001335D3">
      <w:pPr>
        <w:pStyle w:val="NormalWeb"/>
      </w:pPr>
      <w:r>
        <w:t>Dose-limiting toxicities (DLTs) were defined as any of the following: G4 neutropenia for &gt;7 d, febrile neutropenia, G4 thrombocytopenia, G4 non-</w:t>
      </w:r>
      <w:proofErr w:type="spellStart"/>
      <w:r>
        <w:t>haematological</w:t>
      </w:r>
      <w:proofErr w:type="spellEnd"/>
      <w:r>
        <w:t xml:space="preserve"> toxicity (e.g. </w:t>
      </w:r>
      <w:proofErr w:type="spellStart"/>
      <w:r>
        <w:t>hyperglycaemia</w:t>
      </w:r>
      <w:proofErr w:type="spellEnd"/>
      <w:r>
        <w:t xml:space="preserve"> &gt;27.8 </w:t>
      </w:r>
      <w:proofErr w:type="spellStart"/>
      <w:r>
        <w:t>mmol</w:t>
      </w:r>
      <w:proofErr w:type="spellEnd"/>
      <w:r>
        <w:t>/L) or G3 lasting &gt;7 d (unless controlled with supportive care), treatment delay &gt; 14 d because of unresolved toxicity or non-</w:t>
      </w:r>
      <w:proofErr w:type="spellStart"/>
      <w:r>
        <w:t>haematological</w:t>
      </w:r>
      <w:proofErr w:type="spellEnd"/>
      <w:r>
        <w:t xml:space="preserve"> toxicity ≥ G2 deemed dose limiting by the IDSMB. DLTs were based on adverse events (AEs) observed during the first cycle (21 d). The MTD was defined as the highest dose level at which ≤1 of six patients experience a DLT. </w:t>
      </w:r>
    </w:p>
    <w:p w:rsidR="001335D3" w:rsidRDefault="001335D3" w:rsidP="001335D3">
      <w:pPr>
        <w:pStyle w:val="Titre2"/>
      </w:pPr>
      <w:r>
        <w:t xml:space="preserve">2.4 Safety and efficacy assessments </w:t>
      </w:r>
    </w:p>
    <w:p w:rsidR="001335D3" w:rsidRDefault="001335D3" w:rsidP="001335D3">
      <w:pPr>
        <w:pStyle w:val="NormalWeb"/>
      </w:pPr>
      <w:r>
        <w:t xml:space="preserve">AEs were graded using the National Cancer Institute Common Toxicity Criteria for Adverse Events, version 4.03. Efficacy parameters were defined using the Response Evaluation Criteria in Solid </w:t>
      </w:r>
      <w:proofErr w:type="spellStart"/>
      <w:r>
        <w:t>Tumours</w:t>
      </w:r>
      <w:proofErr w:type="spellEnd"/>
      <w:r>
        <w:t xml:space="preserve"> (RECIST, version 1.1)</w:t>
      </w:r>
      <w:r w:rsidR="00FE4839">
        <w:t xml:space="preserve"> (</w:t>
      </w:r>
      <w:proofErr w:type="spellStart"/>
      <w:r w:rsidR="00287061" w:rsidRPr="00944CA5">
        <w:rPr>
          <w:b/>
          <w:i/>
        </w:rPr>
        <w:t>voir</w:t>
      </w:r>
      <w:proofErr w:type="spellEnd"/>
      <w:r w:rsidR="00287061" w:rsidRPr="00944CA5">
        <w:rPr>
          <w:b/>
          <w:i/>
        </w:rPr>
        <w:t xml:space="preserve"> Question </w:t>
      </w:r>
      <w:r w:rsidR="00287061">
        <w:rPr>
          <w:b/>
          <w:i/>
        </w:rPr>
        <w:t>6</w:t>
      </w:r>
      <w:r w:rsidR="00FE4839">
        <w:rPr>
          <w:b/>
          <w:i/>
        </w:rPr>
        <w:t>)</w:t>
      </w:r>
      <w:r>
        <w:t xml:space="preserve">. </w:t>
      </w:r>
    </w:p>
    <w:p w:rsidR="001335D3" w:rsidRDefault="001335D3" w:rsidP="001335D3">
      <w:pPr>
        <w:pStyle w:val="Titre2"/>
      </w:pPr>
      <w:r>
        <w:t xml:space="preserve">2.5 Pharmacokinetics </w:t>
      </w:r>
    </w:p>
    <w:p w:rsidR="001335D3" w:rsidRDefault="001335D3" w:rsidP="001335D3">
      <w:pPr>
        <w:pStyle w:val="NormalWeb"/>
      </w:pPr>
      <w:r>
        <w:t xml:space="preserve">Blood samples for PK analysis were taken </w:t>
      </w:r>
      <w:r w:rsidR="00BA3109">
        <w:t>…</w:t>
      </w:r>
      <w:r>
        <w:t xml:space="preserve"> </w:t>
      </w:r>
    </w:p>
    <w:p w:rsidR="001335D3" w:rsidRDefault="001335D3" w:rsidP="001335D3">
      <w:pPr>
        <w:pStyle w:val="Titre2"/>
      </w:pPr>
      <w:r>
        <w:t xml:space="preserve">2.6 Pharmacodynamics </w:t>
      </w:r>
    </w:p>
    <w:p w:rsidR="001335D3" w:rsidRDefault="001335D3" w:rsidP="001335D3">
      <w:pPr>
        <w:pStyle w:val="NormalWeb"/>
      </w:pPr>
      <w:proofErr w:type="spellStart"/>
      <w:r>
        <w:t>Tumour</w:t>
      </w:r>
      <w:proofErr w:type="spellEnd"/>
      <w:r>
        <w:t xml:space="preserve"> biopsies were taken before the start of the treatment and after 3 weeks of therapy. </w:t>
      </w:r>
    </w:p>
    <w:p w:rsidR="001335D3" w:rsidRDefault="001335D3" w:rsidP="001335D3">
      <w:pPr>
        <w:pStyle w:val="Titre2"/>
      </w:pPr>
      <w:r>
        <w:t xml:space="preserve">3 Results </w:t>
      </w:r>
    </w:p>
    <w:p w:rsidR="001335D3" w:rsidRDefault="001335D3" w:rsidP="001335D3">
      <w:pPr>
        <w:pStyle w:val="Titre2"/>
      </w:pPr>
      <w:r>
        <w:t xml:space="preserve">3.1 Patient characteristics </w:t>
      </w:r>
    </w:p>
    <w:p w:rsidR="001335D3" w:rsidRDefault="001335D3" w:rsidP="001335D3">
      <w:pPr>
        <w:pStyle w:val="NormalWeb"/>
      </w:pPr>
      <w:r>
        <w:t xml:space="preserve">Twenty-eight patients (20 female, 8 male) were treated between January 2014 and February 2015 at six </w:t>
      </w:r>
      <w:proofErr w:type="spellStart"/>
      <w:r>
        <w:t>centres</w:t>
      </w:r>
      <w:proofErr w:type="spellEnd"/>
      <w:r>
        <w:t xml:space="preserve"> (Switzerland, the United Kingdom and Spain; </w:t>
      </w:r>
      <w:hyperlink r:id="rId7" w:history="1">
        <w:r>
          <w:rPr>
            <w:rStyle w:val="Lienhypertexte"/>
          </w:rPr>
          <w:t xml:space="preserve">Table </w:t>
        </w:r>
        <w:proofErr w:type="gramStart"/>
        <w:r>
          <w:rPr>
            <w:rStyle w:val="Lienhypertexte"/>
          </w:rPr>
          <w:t xml:space="preserve">1 </w:t>
        </w:r>
        <w:proofErr w:type="gramEnd"/>
      </w:hyperlink>
      <w:r>
        <w:t xml:space="preserve">). Patients were </w:t>
      </w:r>
      <w:r>
        <w:lastRenderedPageBreak/>
        <w:t xml:space="preserve">enrolled into six dosing cohorts (10 mg n = 1; 20 mg n = 1; 40 mg n = 4; 80 mg n = 9; 100 mg n = 7; 120 mg n = 6), with dose adjusted for body weight in the first four cohorts </w:t>
      </w:r>
      <w:proofErr w:type="gramStart"/>
      <w:r>
        <w:t xml:space="preserve">( </w:t>
      </w:r>
      <w:proofErr w:type="gramEnd"/>
      <w:r>
        <w:fldChar w:fldCharType="begin"/>
      </w:r>
      <w:r>
        <w:instrText xml:space="preserve"> HYPERLINK "https://www.clinicalkey.fr/tbl2" </w:instrText>
      </w:r>
      <w:r>
        <w:fldChar w:fldCharType="separate"/>
      </w:r>
      <w:r>
        <w:rPr>
          <w:rStyle w:val="Lienhypertexte"/>
        </w:rPr>
        <w:t xml:space="preserve">Table 2 </w:t>
      </w:r>
      <w:r>
        <w:fldChar w:fldCharType="end"/>
      </w:r>
      <w:r>
        <w:t xml:space="preserve">). The median age of patients was 58 years (range 21–75). The most frequent primary </w:t>
      </w:r>
      <w:proofErr w:type="spellStart"/>
      <w:r>
        <w:t>tumour</w:t>
      </w:r>
      <w:proofErr w:type="spellEnd"/>
      <w:r>
        <w:t xml:space="preserve"> types were colorectal cancer (n = 7) and ovarian cancer (n = 6). The median number of lines of prior treatment was 4 (range 0–9; </w:t>
      </w:r>
      <w:hyperlink r:id="rId8" w:history="1">
        <w:r>
          <w:rPr>
            <w:rStyle w:val="Lienhypertexte"/>
          </w:rPr>
          <w:t xml:space="preserve">Table </w:t>
        </w:r>
        <w:proofErr w:type="gramStart"/>
        <w:r>
          <w:rPr>
            <w:rStyle w:val="Lienhypertexte"/>
          </w:rPr>
          <w:t xml:space="preserve">1 </w:t>
        </w:r>
        <w:proofErr w:type="gramEnd"/>
      </w:hyperlink>
      <w:r>
        <w:t>). Fourteen patients (50%) discontinued trial treatment because of progressive disease. Five patients discontinued because of AEs (18%)</w:t>
      </w:r>
      <w:r w:rsidR="00BA3109">
        <w:t>…</w:t>
      </w:r>
    </w:p>
    <w:p w:rsidR="00FE4839" w:rsidRDefault="00FE4839" w:rsidP="001335D3">
      <w:pPr>
        <w:pStyle w:val="NormalWeb"/>
      </w:pPr>
    </w:p>
    <w:p w:rsidR="00FE4839" w:rsidRPr="00DE63A6" w:rsidRDefault="00551292" w:rsidP="00BA3109">
      <w:pPr>
        <w:rPr>
          <w:rFonts w:ascii="Times New Roman" w:eastAsia="Times New Roman" w:hAnsi="Times New Roman" w:cs="Times New Roman"/>
          <w:b/>
          <w:sz w:val="28"/>
          <w:szCs w:val="28"/>
        </w:rPr>
      </w:pPr>
      <w:r w:rsidRPr="00DE63A6">
        <w:rPr>
          <w:b/>
          <w:sz w:val="28"/>
          <w:szCs w:val="28"/>
        </w:rPr>
        <w:t>Question</w:t>
      </w:r>
      <w:r w:rsidR="00EC1436" w:rsidRPr="00DE63A6">
        <w:rPr>
          <w:b/>
          <w:sz w:val="28"/>
          <w:szCs w:val="28"/>
        </w:rPr>
        <w:t>s</w:t>
      </w:r>
      <w:r w:rsidRPr="00DE63A6">
        <w:rPr>
          <w:b/>
          <w:sz w:val="28"/>
          <w:szCs w:val="28"/>
        </w:rPr>
        <w:t xml:space="preserve"> :</w:t>
      </w:r>
      <w:bookmarkStart w:id="0" w:name="_GoBack"/>
      <w:bookmarkEnd w:id="0"/>
    </w:p>
    <w:p w:rsidR="00891FE5" w:rsidRPr="00BA3109" w:rsidRDefault="00891FE5" w:rsidP="00891FE5">
      <w:pPr>
        <w:pStyle w:val="NormalWeb"/>
        <w:spacing w:before="240" w:beforeAutospacing="0" w:after="240" w:afterAutospacing="0"/>
        <w:rPr>
          <w:lang w:val="fr-FR"/>
        </w:rPr>
      </w:pPr>
    </w:p>
    <w:p w:rsidR="00891FE5" w:rsidRPr="00891FE5" w:rsidRDefault="00D951F3" w:rsidP="00891FE5">
      <w:pPr>
        <w:pStyle w:val="NormalWeb"/>
        <w:numPr>
          <w:ilvl w:val="0"/>
          <w:numId w:val="4"/>
        </w:numPr>
        <w:spacing w:before="240" w:beforeAutospacing="0" w:after="240" w:afterAutospacing="0"/>
        <w:rPr>
          <w:lang w:val="fr-FR"/>
        </w:rPr>
      </w:pPr>
      <w:r>
        <w:rPr>
          <w:lang w:val="fr-FR"/>
        </w:rPr>
        <w:t>Compléter la phrase tronquée</w:t>
      </w:r>
      <w:r w:rsidR="00555DBF">
        <w:rPr>
          <w:lang w:val="fr-FR"/>
        </w:rPr>
        <w:t xml:space="preserve"> (page 2)</w:t>
      </w:r>
      <w:r>
        <w:rPr>
          <w:lang w:val="fr-FR"/>
        </w:rPr>
        <w:t xml:space="preserve"> correspondant aux études précliniques qui ont constitué le prérequis de cet essai clinique.</w:t>
      </w:r>
    </w:p>
    <w:p w:rsidR="00551292" w:rsidRDefault="00EC1436" w:rsidP="00891FE5">
      <w:pPr>
        <w:pStyle w:val="NormalWeb"/>
        <w:numPr>
          <w:ilvl w:val="0"/>
          <w:numId w:val="4"/>
        </w:numPr>
        <w:spacing w:before="240" w:beforeAutospacing="0" w:after="240" w:afterAutospacing="0"/>
        <w:rPr>
          <w:lang w:val="fr-FR"/>
        </w:rPr>
      </w:pPr>
      <w:r>
        <w:rPr>
          <w:lang w:val="fr-FR"/>
        </w:rPr>
        <w:t>Compléter la phase tronquée </w:t>
      </w:r>
      <w:r w:rsidR="00555DBF">
        <w:rPr>
          <w:lang w:val="fr-FR"/>
        </w:rPr>
        <w:t xml:space="preserve">(page 2) </w:t>
      </w:r>
      <w:r>
        <w:rPr>
          <w:lang w:val="fr-FR"/>
        </w:rPr>
        <w:t xml:space="preserve">en indiquant quels </w:t>
      </w:r>
      <w:proofErr w:type="gramStart"/>
      <w:r>
        <w:rPr>
          <w:lang w:val="fr-FR"/>
        </w:rPr>
        <w:t>étaient</w:t>
      </w:r>
      <w:proofErr w:type="gramEnd"/>
      <w:r w:rsidRPr="00EC1436">
        <w:rPr>
          <w:lang w:val="fr-FR"/>
        </w:rPr>
        <w:t xml:space="preserve"> les objectifs principaux et secondaires de cet essai </w:t>
      </w:r>
      <w:r>
        <w:rPr>
          <w:lang w:val="fr-FR"/>
        </w:rPr>
        <w:t>c</w:t>
      </w:r>
      <w:r w:rsidRPr="00EC1436">
        <w:rPr>
          <w:lang w:val="fr-FR"/>
        </w:rPr>
        <w:t>linique</w:t>
      </w:r>
      <w:r>
        <w:rPr>
          <w:lang w:val="fr-FR"/>
        </w:rPr>
        <w:t> ?</w:t>
      </w:r>
    </w:p>
    <w:p w:rsidR="00D951F3" w:rsidRDefault="00D951F3" w:rsidP="00891FE5">
      <w:pPr>
        <w:pStyle w:val="NormalWeb"/>
        <w:numPr>
          <w:ilvl w:val="0"/>
          <w:numId w:val="4"/>
        </w:numPr>
        <w:spacing w:before="240" w:beforeAutospacing="0" w:after="240" w:afterAutospacing="0"/>
        <w:rPr>
          <w:lang w:val="fr-FR"/>
        </w:rPr>
      </w:pPr>
      <w:r>
        <w:rPr>
          <w:lang w:val="fr-FR"/>
        </w:rPr>
        <w:t>Justifier le choix d’une étude multicentrique ainsi que d’une étude en ouvert</w:t>
      </w:r>
      <w:r w:rsidR="00555DBF">
        <w:rPr>
          <w:lang w:val="fr-FR"/>
        </w:rPr>
        <w:t xml:space="preserve"> (page 2)</w:t>
      </w:r>
      <w:r>
        <w:rPr>
          <w:lang w:val="fr-FR"/>
        </w:rPr>
        <w:t>.</w:t>
      </w:r>
    </w:p>
    <w:p w:rsidR="00EC1436" w:rsidRDefault="00EC1436" w:rsidP="00891FE5">
      <w:pPr>
        <w:pStyle w:val="NormalWeb"/>
        <w:numPr>
          <w:ilvl w:val="0"/>
          <w:numId w:val="4"/>
        </w:numPr>
        <w:spacing w:before="240" w:beforeAutospacing="0" w:after="240" w:afterAutospacing="0"/>
        <w:rPr>
          <w:lang w:val="fr-FR"/>
        </w:rPr>
      </w:pPr>
      <w:r w:rsidRPr="00D951F3">
        <w:rPr>
          <w:lang w:val="fr-FR"/>
        </w:rPr>
        <w:t>A quoi correspondent</w:t>
      </w:r>
      <w:r w:rsidR="00891FE5">
        <w:rPr>
          <w:lang w:val="fr-FR"/>
        </w:rPr>
        <w:t>, de façon géné</w:t>
      </w:r>
      <w:r w:rsidR="00555DBF">
        <w:rPr>
          <w:lang w:val="fr-FR"/>
        </w:rPr>
        <w:t>rale,</w:t>
      </w:r>
      <w:r w:rsidRPr="00D951F3">
        <w:rPr>
          <w:lang w:val="fr-FR"/>
        </w:rPr>
        <w:t xml:space="preserve"> les cohortes d’une étude phase 1 </w:t>
      </w:r>
      <w:r w:rsidR="00555DBF">
        <w:rPr>
          <w:lang w:val="fr-FR"/>
        </w:rPr>
        <w:t xml:space="preserve">(page 1) </w:t>
      </w:r>
      <w:r w:rsidRPr="00D951F3">
        <w:rPr>
          <w:lang w:val="fr-FR"/>
        </w:rPr>
        <w:t>?</w:t>
      </w:r>
    </w:p>
    <w:p w:rsidR="00D951F3" w:rsidRPr="00D951F3" w:rsidRDefault="00555DBF" w:rsidP="00891FE5">
      <w:pPr>
        <w:pStyle w:val="NormalWeb"/>
        <w:numPr>
          <w:ilvl w:val="0"/>
          <w:numId w:val="4"/>
        </w:numPr>
        <w:spacing w:before="240" w:beforeAutospacing="0" w:after="240" w:afterAutospacing="0"/>
        <w:rPr>
          <w:lang w:val="fr-FR"/>
        </w:rPr>
      </w:pPr>
      <w:r>
        <w:rPr>
          <w:lang w:val="fr-FR"/>
        </w:rPr>
        <w:t>Pour quelle(s) raison(s) le schéma de l’étude est-il qualifié de</w:t>
      </w:r>
      <w:r w:rsidR="00454AAD">
        <w:rPr>
          <w:lang w:val="fr-FR"/>
        </w:rPr>
        <w:t xml:space="preserve"> « </w:t>
      </w:r>
      <w:proofErr w:type="spellStart"/>
      <w:r w:rsidR="00454AAD">
        <w:rPr>
          <w:lang w:val="fr-FR"/>
        </w:rPr>
        <w:t>accele</w:t>
      </w:r>
      <w:r w:rsidR="00D951F3">
        <w:rPr>
          <w:lang w:val="fr-FR"/>
        </w:rPr>
        <w:t>rated</w:t>
      </w:r>
      <w:proofErr w:type="spellEnd"/>
      <w:r w:rsidR="00D951F3">
        <w:rPr>
          <w:lang w:val="fr-FR"/>
        </w:rPr>
        <w:t xml:space="preserve"> </w:t>
      </w:r>
      <w:proofErr w:type="spellStart"/>
      <w:r w:rsidR="00D951F3">
        <w:rPr>
          <w:lang w:val="fr-FR"/>
        </w:rPr>
        <w:t>modified</w:t>
      </w:r>
      <w:proofErr w:type="spellEnd"/>
      <w:r w:rsidR="00813F6F">
        <w:rPr>
          <w:lang w:val="fr-FR"/>
        </w:rPr>
        <w:t xml:space="preserve"> » (page 2) ? Justifier ce choix par rapport à un schéma « 3 + 3 » </w:t>
      </w:r>
      <w:proofErr w:type="gramStart"/>
      <w:r w:rsidR="00813F6F">
        <w:rPr>
          <w:lang w:val="fr-FR"/>
        </w:rPr>
        <w:t>classique</w:t>
      </w:r>
      <w:proofErr w:type="gramEnd"/>
      <w:r w:rsidR="00813F6F">
        <w:rPr>
          <w:lang w:val="fr-FR"/>
        </w:rPr>
        <w:t>.</w:t>
      </w:r>
    </w:p>
    <w:p w:rsidR="00D951F3" w:rsidRDefault="00D951F3" w:rsidP="00891FE5">
      <w:pPr>
        <w:pStyle w:val="NormalWeb"/>
        <w:numPr>
          <w:ilvl w:val="0"/>
          <w:numId w:val="4"/>
        </w:numPr>
        <w:spacing w:before="240" w:beforeAutospacing="0" w:after="240" w:afterAutospacing="0"/>
        <w:rPr>
          <w:lang w:val="fr-FR"/>
        </w:rPr>
      </w:pPr>
      <w:r>
        <w:rPr>
          <w:lang w:val="fr-FR"/>
        </w:rPr>
        <w:t>Principe des critères RECIST</w:t>
      </w:r>
      <w:r w:rsidR="00813F6F">
        <w:rPr>
          <w:lang w:val="fr-FR"/>
        </w:rPr>
        <w:t xml:space="preserve"> (page 3)</w:t>
      </w:r>
      <w:r>
        <w:rPr>
          <w:lang w:val="fr-FR"/>
        </w:rPr>
        <w:t>.</w:t>
      </w:r>
    </w:p>
    <w:p w:rsidR="00D951F3" w:rsidRPr="00D951F3" w:rsidRDefault="00813F6F" w:rsidP="00891FE5">
      <w:pPr>
        <w:pStyle w:val="NormalWeb"/>
        <w:numPr>
          <w:ilvl w:val="0"/>
          <w:numId w:val="4"/>
        </w:numPr>
        <w:spacing w:before="240" w:beforeAutospacing="0" w:after="240" w:afterAutospacing="0"/>
        <w:rPr>
          <w:lang w:val="fr-FR"/>
        </w:rPr>
      </w:pPr>
      <w:r>
        <w:rPr>
          <w:lang w:val="fr-FR"/>
        </w:rPr>
        <w:t xml:space="preserve">Que signifie le terme </w:t>
      </w:r>
      <w:r w:rsidR="00D951F3">
        <w:rPr>
          <w:lang w:val="fr-FR"/>
        </w:rPr>
        <w:t xml:space="preserve">« dose </w:t>
      </w:r>
      <w:proofErr w:type="spellStart"/>
      <w:r w:rsidR="00D951F3">
        <w:rPr>
          <w:lang w:val="fr-FR"/>
        </w:rPr>
        <w:t>proportionality</w:t>
      </w:r>
      <w:proofErr w:type="spellEnd"/>
      <w:r w:rsidR="00D951F3">
        <w:rPr>
          <w:lang w:val="fr-FR"/>
        </w:rPr>
        <w:t> » </w:t>
      </w:r>
      <w:r>
        <w:rPr>
          <w:lang w:val="fr-FR"/>
        </w:rPr>
        <w:t xml:space="preserve">(page 1) ? Est-ce un </w:t>
      </w:r>
      <w:r w:rsidR="00D951F3">
        <w:rPr>
          <w:lang w:val="fr-FR"/>
        </w:rPr>
        <w:t xml:space="preserve">résultat attendu ? </w:t>
      </w:r>
      <w:r>
        <w:rPr>
          <w:lang w:val="fr-FR"/>
        </w:rPr>
        <w:t xml:space="preserve">Doit-il être considéré comme </w:t>
      </w:r>
      <w:r w:rsidR="00D951F3">
        <w:rPr>
          <w:lang w:val="fr-FR"/>
        </w:rPr>
        <w:t>positif</w:t>
      </w:r>
      <w:r>
        <w:rPr>
          <w:lang w:val="fr-FR"/>
        </w:rPr>
        <w:t xml:space="preserve"> ou péjoratif ? Pour quelle raison(s) ?</w:t>
      </w:r>
    </w:p>
    <w:p w:rsidR="00D951F3" w:rsidRDefault="00813F6F" w:rsidP="00891FE5">
      <w:pPr>
        <w:pStyle w:val="NormalWeb"/>
        <w:numPr>
          <w:ilvl w:val="0"/>
          <w:numId w:val="4"/>
        </w:numPr>
        <w:spacing w:before="240" w:beforeAutospacing="0" w:after="240" w:afterAutospacing="0"/>
        <w:rPr>
          <w:lang w:val="fr-FR"/>
        </w:rPr>
      </w:pPr>
      <w:r>
        <w:rPr>
          <w:lang w:val="fr-FR"/>
        </w:rPr>
        <w:t xml:space="preserve">Justifier </w:t>
      </w:r>
      <w:r w:rsidR="00D951F3">
        <w:rPr>
          <w:lang w:val="fr-FR"/>
        </w:rPr>
        <w:t xml:space="preserve">l’amendement </w:t>
      </w:r>
      <w:r>
        <w:rPr>
          <w:lang w:val="fr-FR"/>
        </w:rPr>
        <w:t xml:space="preserve">effectué </w:t>
      </w:r>
      <w:r w:rsidR="00D951F3">
        <w:rPr>
          <w:lang w:val="fr-FR"/>
        </w:rPr>
        <w:t xml:space="preserve">relatif aux critères d’inclusion ; </w:t>
      </w:r>
      <w:r>
        <w:rPr>
          <w:lang w:val="fr-FR"/>
        </w:rPr>
        <w:t xml:space="preserve">pour </w:t>
      </w:r>
      <w:r w:rsidR="00D951F3">
        <w:rPr>
          <w:lang w:val="fr-FR"/>
        </w:rPr>
        <w:t xml:space="preserve">quel est </w:t>
      </w:r>
      <w:r>
        <w:rPr>
          <w:lang w:val="fr-FR"/>
        </w:rPr>
        <w:t xml:space="preserve">raison cette </w:t>
      </w:r>
      <w:r w:rsidR="00D951F3">
        <w:rPr>
          <w:lang w:val="fr-FR"/>
        </w:rPr>
        <w:t>biopsie tumorale</w:t>
      </w:r>
      <w:r>
        <w:rPr>
          <w:lang w:val="fr-FR"/>
        </w:rPr>
        <w:t xml:space="preserve"> a-t-elle mise en place alors que cela n’est jamais pratiqué pour les essai</w:t>
      </w:r>
      <w:r w:rsidR="00891FE5">
        <w:rPr>
          <w:lang w:val="fr-FR"/>
        </w:rPr>
        <w:t>s</w:t>
      </w:r>
      <w:r>
        <w:rPr>
          <w:lang w:val="fr-FR"/>
        </w:rPr>
        <w:t xml:space="preserve"> de phase des médicaments cytotoxiques</w:t>
      </w:r>
      <w:r w:rsidR="00D951F3">
        <w:rPr>
          <w:lang w:val="fr-FR"/>
        </w:rPr>
        <w:t> </w:t>
      </w:r>
      <w:r>
        <w:rPr>
          <w:lang w:val="fr-FR"/>
        </w:rPr>
        <w:t xml:space="preserve">(page 3) </w:t>
      </w:r>
      <w:r w:rsidR="00D951F3">
        <w:rPr>
          <w:lang w:val="fr-FR"/>
        </w:rPr>
        <w:t>?</w:t>
      </w:r>
    </w:p>
    <w:p w:rsidR="00D951F3" w:rsidRDefault="00891FE5" w:rsidP="00891FE5">
      <w:pPr>
        <w:pStyle w:val="NormalWeb"/>
        <w:numPr>
          <w:ilvl w:val="0"/>
          <w:numId w:val="4"/>
        </w:numPr>
        <w:spacing w:before="240" w:beforeAutospacing="0" w:after="240" w:afterAutospacing="0"/>
        <w:rPr>
          <w:lang w:val="fr-FR"/>
        </w:rPr>
      </w:pPr>
      <w:r>
        <w:rPr>
          <w:lang w:val="fr-FR"/>
        </w:rPr>
        <w:t>Les résultats de cet essai vont-ils permettre de choisir les critères d’inclusions des patients du ou des future(s) étude(s) de phase 2 ? Quelles sont les autres informations guidant ces choix ?</w:t>
      </w:r>
    </w:p>
    <w:p w:rsidR="004346B4" w:rsidRPr="00452A14" w:rsidRDefault="00AF11D9" w:rsidP="00AF11D9">
      <w:pPr>
        <w:pStyle w:val="NormalWeb"/>
        <w:numPr>
          <w:ilvl w:val="0"/>
          <w:numId w:val="4"/>
        </w:numPr>
        <w:spacing w:before="240" w:after="240"/>
        <w:rPr>
          <w:lang w:val="fr-FR"/>
        </w:rPr>
      </w:pPr>
      <w:r>
        <w:rPr>
          <w:lang w:val="fr-FR"/>
        </w:rPr>
        <w:t xml:space="preserve">De façon générale, quand le développement d’un </w:t>
      </w:r>
      <w:r w:rsidR="00452A14">
        <w:rPr>
          <w:lang w:val="fr-FR"/>
        </w:rPr>
        <w:t xml:space="preserve">futur </w:t>
      </w:r>
      <w:r>
        <w:rPr>
          <w:lang w:val="fr-FR"/>
        </w:rPr>
        <w:t>« </w:t>
      </w:r>
      <w:proofErr w:type="spellStart"/>
      <w:r w:rsidR="00452A14">
        <w:rPr>
          <w:lang w:val="fr-FR"/>
        </w:rPr>
        <w:t>companion</w:t>
      </w:r>
      <w:proofErr w:type="spellEnd"/>
      <w:r w:rsidR="00452A14">
        <w:rPr>
          <w:lang w:val="fr-FR"/>
        </w:rPr>
        <w:t xml:space="preserve"> diagnostic </w:t>
      </w:r>
      <w:r w:rsidR="00454AAD" w:rsidRPr="00454AAD">
        <w:rPr>
          <w:lang w:val="fr-FR"/>
        </w:rPr>
        <w:t xml:space="preserve">CDX» </w:t>
      </w:r>
      <w:r>
        <w:rPr>
          <w:lang w:val="fr-FR"/>
        </w:rPr>
        <w:t>est décidé, quels sont les principaux conseils qui sont donnés au chef de projet pour réussir ce développement conjoint molécule et CDX ?</w:t>
      </w:r>
      <w:r w:rsidRPr="00452A14">
        <w:rPr>
          <w:lang w:val="fr-FR"/>
        </w:rPr>
        <w:t xml:space="preserve"> </w:t>
      </w:r>
    </w:p>
    <w:sectPr w:rsidR="004346B4" w:rsidRPr="00452A14">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0B8D" w:rsidRDefault="00050B8D" w:rsidP="00E111FA">
      <w:pPr>
        <w:spacing w:after="0" w:line="240" w:lineRule="auto"/>
      </w:pPr>
      <w:r>
        <w:separator/>
      </w:r>
    </w:p>
  </w:endnote>
  <w:endnote w:type="continuationSeparator" w:id="0">
    <w:p w:rsidR="00050B8D" w:rsidRDefault="00050B8D" w:rsidP="00E11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0B8D" w:rsidRDefault="00050B8D" w:rsidP="00E111FA">
      <w:pPr>
        <w:spacing w:after="0" w:line="240" w:lineRule="auto"/>
      </w:pPr>
      <w:r>
        <w:separator/>
      </w:r>
    </w:p>
  </w:footnote>
  <w:footnote w:type="continuationSeparator" w:id="0">
    <w:p w:rsidR="00050B8D" w:rsidRDefault="00050B8D" w:rsidP="00E111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4974232"/>
      <w:docPartObj>
        <w:docPartGallery w:val="Page Numbers (Top of Page)"/>
        <w:docPartUnique/>
      </w:docPartObj>
    </w:sdtPr>
    <w:sdtEndPr/>
    <w:sdtContent>
      <w:p w:rsidR="00E111FA" w:rsidRDefault="00E111FA">
        <w:pPr>
          <w:pStyle w:val="En-tte"/>
          <w:jc w:val="right"/>
        </w:pPr>
        <w:r>
          <w:fldChar w:fldCharType="begin"/>
        </w:r>
        <w:r>
          <w:instrText>PAGE   \* MERGEFORMAT</w:instrText>
        </w:r>
        <w:r>
          <w:fldChar w:fldCharType="separate"/>
        </w:r>
        <w:r w:rsidR="00DE63A6">
          <w:rPr>
            <w:noProof/>
          </w:rPr>
          <w:t>4</w:t>
        </w:r>
        <w:r>
          <w:fldChar w:fldCharType="end"/>
        </w:r>
      </w:p>
    </w:sdtContent>
  </w:sdt>
  <w:p w:rsidR="00E111FA" w:rsidRDefault="00E111F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9A3E97"/>
    <w:multiLevelType w:val="hybridMultilevel"/>
    <w:tmpl w:val="1F5446E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4617B0C"/>
    <w:multiLevelType w:val="multilevel"/>
    <w:tmpl w:val="7B748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3092F0C"/>
    <w:multiLevelType w:val="hybridMultilevel"/>
    <w:tmpl w:val="B472EEB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779B51B6"/>
    <w:multiLevelType w:val="multilevel"/>
    <w:tmpl w:val="08143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310"/>
    <w:rsid w:val="00050B8D"/>
    <w:rsid w:val="00072440"/>
    <w:rsid w:val="001335D3"/>
    <w:rsid w:val="001567FB"/>
    <w:rsid w:val="001B12E8"/>
    <w:rsid w:val="00273F8A"/>
    <w:rsid w:val="00281310"/>
    <w:rsid w:val="00287061"/>
    <w:rsid w:val="003D7306"/>
    <w:rsid w:val="004346B4"/>
    <w:rsid w:val="00452A14"/>
    <w:rsid w:val="00452CBB"/>
    <w:rsid w:val="00454AAD"/>
    <w:rsid w:val="004B654E"/>
    <w:rsid w:val="004C5784"/>
    <w:rsid w:val="00551292"/>
    <w:rsid w:val="00555DBF"/>
    <w:rsid w:val="00577C3B"/>
    <w:rsid w:val="005E6F3F"/>
    <w:rsid w:val="00622027"/>
    <w:rsid w:val="006259F7"/>
    <w:rsid w:val="00661DB5"/>
    <w:rsid w:val="006740D4"/>
    <w:rsid w:val="0069388A"/>
    <w:rsid w:val="00715376"/>
    <w:rsid w:val="007E6A6F"/>
    <w:rsid w:val="00813F6F"/>
    <w:rsid w:val="00840C0C"/>
    <w:rsid w:val="008464EA"/>
    <w:rsid w:val="0089060F"/>
    <w:rsid w:val="00891FE5"/>
    <w:rsid w:val="008C7992"/>
    <w:rsid w:val="009342D4"/>
    <w:rsid w:val="00944CA5"/>
    <w:rsid w:val="00946DD9"/>
    <w:rsid w:val="009727C4"/>
    <w:rsid w:val="00AB1FA0"/>
    <w:rsid w:val="00AE645B"/>
    <w:rsid w:val="00AF11D9"/>
    <w:rsid w:val="00B05783"/>
    <w:rsid w:val="00B3703F"/>
    <w:rsid w:val="00B63CB5"/>
    <w:rsid w:val="00B93F79"/>
    <w:rsid w:val="00BA3109"/>
    <w:rsid w:val="00BB117B"/>
    <w:rsid w:val="00BE57E5"/>
    <w:rsid w:val="00C04049"/>
    <w:rsid w:val="00CB7222"/>
    <w:rsid w:val="00CC7092"/>
    <w:rsid w:val="00D519A5"/>
    <w:rsid w:val="00D75570"/>
    <w:rsid w:val="00D951F3"/>
    <w:rsid w:val="00DE63A6"/>
    <w:rsid w:val="00E111FA"/>
    <w:rsid w:val="00E525CE"/>
    <w:rsid w:val="00EC1436"/>
    <w:rsid w:val="00FA631B"/>
    <w:rsid w:val="00FE4839"/>
    <w:rsid w:val="00FE5B6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B20547-CBED-4369-8609-2BDCB1D47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1335D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link w:val="Titre2Car"/>
    <w:uiPriority w:val="9"/>
    <w:qFormat/>
    <w:rsid w:val="009727C4"/>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Titre3">
    <w:name w:val="heading 3"/>
    <w:basedOn w:val="Normal"/>
    <w:link w:val="Titre3Car"/>
    <w:uiPriority w:val="9"/>
    <w:qFormat/>
    <w:rsid w:val="009727C4"/>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81310"/>
    <w:pPr>
      <w:ind w:left="720"/>
      <w:contextualSpacing/>
    </w:pPr>
  </w:style>
  <w:style w:type="paragraph" w:styleId="Textedebulles">
    <w:name w:val="Balloon Text"/>
    <w:basedOn w:val="Normal"/>
    <w:link w:val="TextedebullesCar"/>
    <w:uiPriority w:val="99"/>
    <w:semiHidden/>
    <w:unhideWhenUsed/>
    <w:rsid w:val="00B0578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05783"/>
    <w:rPr>
      <w:rFonts w:ascii="Tahoma" w:hAnsi="Tahoma" w:cs="Tahoma"/>
      <w:sz w:val="16"/>
      <w:szCs w:val="16"/>
    </w:rPr>
  </w:style>
  <w:style w:type="character" w:customStyle="1" w:styleId="Titre2Car">
    <w:name w:val="Titre 2 Car"/>
    <w:basedOn w:val="Policepardfaut"/>
    <w:link w:val="Titre2"/>
    <w:uiPriority w:val="9"/>
    <w:rsid w:val="009727C4"/>
    <w:rPr>
      <w:rFonts w:ascii="Times New Roman" w:eastAsia="Times New Roman" w:hAnsi="Times New Roman" w:cs="Times New Roman"/>
      <w:b/>
      <w:bCs/>
      <w:sz w:val="36"/>
      <w:szCs w:val="36"/>
      <w:lang w:val="en-US"/>
    </w:rPr>
  </w:style>
  <w:style w:type="character" w:customStyle="1" w:styleId="Titre3Car">
    <w:name w:val="Titre 3 Car"/>
    <w:basedOn w:val="Policepardfaut"/>
    <w:link w:val="Titre3"/>
    <w:uiPriority w:val="9"/>
    <w:rsid w:val="009727C4"/>
    <w:rPr>
      <w:rFonts w:ascii="Times New Roman" w:eastAsia="Times New Roman" w:hAnsi="Times New Roman" w:cs="Times New Roman"/>
      <w:b/>
      <w:bCs/>
      <w:sz w:val="27"/>
      <w:szCs w:val="27"/>
      <w:lang w:val="en-US"/>
    </w:rPr>
  </w:style>
  <w:style w:type="paragraph" w:styleId="NormalWeb">
    <w:name w:val="Normal (Web)"/>
    <w:basedOn w:val="Normal"/>
    <w:uiPriority w:val="99"/>
    <w:unhideWhenUsed/>
    <w:rsid w:val="009727C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Lienhypertexte">
    <w:name w:val="Hyperlink"/>
    <w:basedOn w:val="Policepardfaut"/>
    <w:uiPriority w:val="99"/>
    <w:semiHidden/>
    <w:unhideWhenUsed/>
    <w:rsid w:val="009727C4"/>
    <w:rPr>
      <w:color w:val="0000FF"/>
      <w:u w:val="single"/>
    </w:rPr>
  </w:style>
  <w:style w:type="character" w:styleId="Accentuation">
    <w:name w:val="Emphasis"/>
    <w:basedOn w:val="Policepardfaut"/>
    <w:uiPriority w:val="20"/>
    <w:qFormat/>
    <w:rsid w:val="009727C4"/>
    <w:rPr>
      <w:i/>
      <w:iCs/>
    </w:rPr>
  </w:style>
  <w:style w:type="paragraph" w:styleId="En-tte">
    <w:name w:val="header"/>
    <w:basedOn w:val="Normal"/>
    <w:link w:val="En-tteCar"/>
    <w:uiPriority w:val="99"/>
    <w:unhideWhenUsed/>
    <w:rsid w:val="00E111FA"/>
    <w:pPr>
      <w:tabs>
        <w:tab w:val="center" w:pos="4703"/>
        <w:tab w:val="right" w:pos="9406"/>
      </w:tabs>
      <w:spacing w:after="0" w:line="240" w:lineRule="auto"/>
    </w:pPr>
  </w:style>
  <w:style w:type="character" w:customStyle="1" w:styleId="En-tteCar">
    <w:name w:val="En-tête Car"/>
    <w:basedOn w:val="Policepardfaut"/>
    <w:link w:val="En-tte"/>
    <w:uiPriority w:val="99"/>
    <w:rsid w:val="00E111FA"/>
  </w:style>
  <w:style w:type="paragraph" w:styleId="Pieddepage">
    <w:name w:val="footer"/>
    <w:basedOn w:val="Normal"/>
    <w:link w:val="PieddepageCar"/>
    <w:uiPriority w:val="99"/>
    <w:unhideWhenUsed/>
    <w:rsid w:val="00E111FA"/>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E111FA"/>
  </w:style>
  <w:style w:type="character" w:customStyle="1" w:styleId="Titre1Car">
    <w:name w:val="Titre 1 Car"/>
    <w:basedOn w:val="Policepardfaut"/>
    <w:link w:val="Titre1"/>
    <w:uiPriority w:val="9"/>
    <w:rsid w:val="001335D3"/>
    <w:rPr>
      <w:rFonts w:asciiTheme="majorHAnsi" w:eastAsiaTheme="majorEastAsia" w:hAnsiTheme="majorHAnsi" w:cstheme="majorBidi"/>
      <w:color w:val="2F5496" w:themeColor="accent1" w:themeShade="BF"/>
      <w:sz w:val="32"/>
      <w:szCs w:val="32"/>
    </w:rPr>
  </w:style>
  <w:style w:type="character" w:customStyle="1" w:styleId="ng-binding">
    <w:name w:val="ng-binding"/>
    <w:basedOn w:val="Policepardfaut"/>
    <w:rsid w:val="001335D3"/>
  </w:style>
  <w:style w:type="character" w:customStyle="1" w:styleId="visuallyhidden">
    <w:name w:val="visuallyhidden"/>
    <w:basedOn w:val="Policepardfaut"/>
    <w:rsid w:val="001335D3"/>
  </w:style>
  <w:style w:type="paragraph" w:customStyle="1" w:styleId="source">
    <w:name w:val="source"/>
    <w:basedOn w:val="Normal"/>
    <w:rsid w:val="001335D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hideprint">
    <w:name w:val="hideprint"/>
    <w:basedOn w:val="Normal"/>
    <w:rsid w:val="001335D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list-item-label">
    <w:name w:val="list-item-label"/>
    <w:basedOn w:val="Policepardfaut"/>
    <w:rsid w:val="001335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606752">
      <w:bodyDiv w:val="1"/>
      <w:marLeft w:val="0"/>
      <w:marRight w:val="0"/>
      <w:marTop w:val="0"/>
      <w:marBottom w:val="0"/>
      <w:divBdr>
        <w:top w:val="none" w:sz="0" w:space="0" w:color="auto"/>
        <w:left w:val="none" w:sz="0" w:space="0" w:color="auto"/>
        <w:bottom w:val="none" w:sz="0" w:space="0" w:color="auto"/>
        <w:right w:val="none" w:sz="0" w:space="0" w:color="auto"/>
      </w:divBdr>
      <w:divsChild>
        <w:div w:id="255332542">
          <w:marLeft w:val="0"/>
          <w:marRight w:val="0"/>
          <w:marTop w:val="0"/>
          <w:marBottom w:val="0"/>
          <w:divBdr>
            <w:top w:val="none" w:sz="0" w:space="0" w:color="auto"/>
            <w:left w:val="none" w:sz="0" w:space="0" w:color="auto"/>
            <w:bottom w:val="none" w:sz="0" w:space="0" w:color="auto"/>
            <w:right w:val="none" w:sz="0" w:space="0" w:color="auto"/>
          </w:divBdr>
          <w:divsChild>
            <w:div w:id="1457722123">
              <w:marLeft w:val="0"/>
              <w:marRight w:val="0"/>
              <w:marTop w:val="0"/>
              <w:marBottom w:val="0"/>
              <w:divBdr>
                <w:top w:val="none" w:sz="0" w:space="0" w:color="auto"/>
                <w:left w:val="none" w:sz="0" w:space="0" w:color="auto"/>
                <w:bottom w:val="none" w:sz="0" w:space="0" w:color="auto"/>
                <w:right w:val="none" w:sz="0" w:space="0" w:color="auto"/>
              </w:divBdr>
            </w:div>
          </w:divsChild>
        </w:div>
        <w:div w:id="1704020835">
          <w:marLeft w:val="0"/>
          <w:marRight w:val="0"/>
          <w:marTop w:val="0"/>
          <w:marBottom w:val="0"/>
          <w:divBdr>
            <w:top w:val="none" w:sz="0" w:space="0" w:color="auto"/>
            <w:left w:val="none" w:sz="0" w:space="0" w:color="auto"/>
            <w:bottom w:val="none" w:sz="0" w:space="0" w:color="auto"/>
            <w:right w:val="none" w:sz="0" w:space="0" w:color="auto"/>
          </w:divBdr>
          <w:divsChild>
            <w:div w:id="57020500">
              <w:marLeft w:val="0"/>
              <w:marRight w:val="0"/>
              <w:marTop w:val="0"/>
              <w:marBottom w:val="0"/>
              <w:divBdr>
                <w:top w:val="none" w:sz="0" w:space="0" w:color="auto"/>
                <w:left w:val="none" w:sz="0" w:space="0" w:color="auto"/>
                <w:bottom w:val="none" w:sz="0" w:space="0" w:color="auto"/>
                <w:right w:val="none" w:sz="0" w:space="0" w:color="auto"/>
              </w:divBdr>
            </w:div>
          </w:divsChild>
        </w:div>
        <w:div w:id="1117673675">
          <w:marLeft w:val="0"/>
          <w:marRight w:val="0"/>
          <w:marTop w:val="0"/>
          <w:marBottom w:val="0"/>
          <w:divBdr>
            <w:top w:val="none" w:sz="0" w:space="0" w:color="auto"/>
            <w:left w:val="none" w:sz="0" w:space="0" w:color="auto"/>
            <w:bottom w:val="none" w:sz="0" w:space="0" w:color="auto"/>
            <w:right w:val="none" w:sz="0" w:space="0" w:color="auto"/>
          </w:divBdr>
          <w:divsChild>
            <w:div w:id="1019937160">
              <w:marLeft w:val="0"/>
              <w:marRight w:val="0"/>
              <w:marTop w:val="0"/>
              <w:marBottom w:val="0"/>
              <w:divBdr>
                <w:top w:val="none" w:sz="0" w:space="0" w:color="auto"/>
                <w:left w:val="none" w:sz="0" w:space="0" w:color="auto"/>
                <w:bottom w:val="none" w:sz="0" w:space="0" w:color="auto"/>
                <w:right w:val="none" w:sz="0" w:space="0" w:color="auto"/>
              </w:divBdr>
            </w:div>
          </w:divsChild>
        </w:div>
        <w:div w:id="1322079992">
          <w:marLeft w:val="0"/>
          <w:marRight w:val="0"/>
          <w:marTop w:val="0"/>
          <w:marBottom w:val="0"/>
          <w:divBdr>
            <w:top w:val="none" w:sz="0" w:space="0" w:color="auto"/>
            <w:left w:val="none" w:sz="0" w:space="0" w:color="auto"/>
            <w:bottom w:val="none" w:sz="0" w:space="0" w:color="auto"/>
            <w:right w:val="none" w:sz="0" w:space="0" w:color="auto"/>
          </w:divBdr>
          <w:divsChild>
            <w:div w:id="2048217853">
              <w:marLeft w:val="0"/>
              <w:marRight w:val="0"/>
              <w:marTop w:val="0"/>
              <w:marBottom w:val="0"/>
              <w:divBdr>
                <w:top w:val="none" w:sz="0" w:space="0" w:color="auto"/>
                <w:left w:val="none" w:sz="0" w:space="0" w:color="auto"/>
                <w:bottom w:val="none" w:sz="0" w:space="0" w:color="auto"/>
                <w:right w:val="none" w:sz="0" w:space="0" w:color="auto"/>
              </w:divBdr>
            </w:div>
          </w:divsChild>
        </w:div>
        <w:div w:id="1546719711">
          <w:marLeft w:val="0"/>
          <w:marRight w:val="0"/>
          <w:marTop w:val="0"/>
          <w:marBottom w:val="0"/>
          <w:divBdr>
            <w:top w:val="none" w:sz="0" w:space="0" w:color="auto"/>
            <w:left w:val="none" w:sz="0" w:space="0" w:color="auto"/>
            <w:bottom w:val="none" w:sz="0" w:space="0" w:color="auto"/>
            <w:right w:val="none" w:sz="0" w:space="0" w:color="auto"/>
          </w:divBdr>
          <w:divsChild>
            <w:div w:id="209335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947358">
      <w:bodyDiv w:val="1"/>
      <w:marLeft w:val="0"/>
      <w:marRight w:val="0"/>
      <w:marTop w:val="0"/>
      <w:marBottom w:val="0"/>
      <w:divBdr>
        <w:top w:val="none" w:sz="0" w:space="0" w:color="auto"/>
        <w:left w:val="none" w:sz="0" w:space="0" w:color="auto"/>
        <w:bottom w:val="none" w:sz="0" w:space="0" w:color="auto"/>
        <w:right w:val="none" w:sz="0" w:space="0" w:color="auto"/>
      </w:divBdr>
      <w:divsChild>
        <w:div w:id="620571600">
          <w:marLeft w:val="0"/>
          <w:marRight w:val="0"/>
          <w:marTop w:val="0"/>
          <w:marBottom w:val="0"/>
          <w:divBdr>
            <w:top w:val="none" w:sz="0" w:space="0" w:color="auto"/>
            <w:left w:val="none" w:sz="0" w:space="0" w:color="auto"/>
            <w:bottom w:val="none" w:sz="0" w:space="0" w:color="auto"/>
            <w:right w:val="none" w:sz="0" w:space="0" w:color="auto"/>
          </w:divBdr>
        </w:div>
        <w:div w:id="1379471275">
          <w:marLeft w:val="0"/>
          <w:marRight w:val="0"/>
          <w:marTop w:val="0"/>
          <w:marBottom w:val="0"/>
          <w:divBdr>
            <w:top w:val="none" w:sz="0" w:space="0" w:color="auto"/>
            <w:left w:val="none" w:sz="0" w:space="0" w:color="auto"/>
            <w:bottom w:val="none" w:sz="0" w:space="0" w:color="auto"/>
            <w:right w:val="none" w:sz="0" w:space="0" w:color="auto"/>
          </w:divBdr>
        </w:div>
        <w:div w:id="544870342">
          <w:marLeft w:val="0"/>
          <w:marRight w:val="0"/>
          <w:marTop w:val="0"/>
          <w:marBottom w:val="0"/>
          <w:divBdr>
            <w:top w:val="none" w:sz="0" w:space="0" w:color="auto"/>
            <w:left w:val="none" w:sz="0" w:space="0" w:color="auto"/>
            <w:bottom w:val="none" w:sz="0" w:space="0" w:color="auto"/>
            <w:right w:val="none" w:sz="0" w:space="0" w:color="auto"/>
          </w:divBdr>
        </w:div>
        <w:div w:id="8243919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linicalkey.fr/tbl1" TargetMode="External"/><Relationship Id="rId3" Type="http://schemas.openxmlformats.org/officeDocument/2006/relationships/settings" Target="settings.xml"/><Relationship Id="rId7" Type="http://schemas.openxmlformats.org/officeDocument/2006/relationships/hyperlink" Target="https://www.clinicalkey.fr/tbl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TotalTime>
  <Pages>4</Pages>
  <Words>1366</Words>
  <Characters>7513</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Etienne Chatelut</dc:creator>
  <cp:lastModifiedBy>Chatelut Etienne</cp:lastModifiedBy>
  <cp:revision>16</cp:revision>
  <cp:lastPrinted>2019-01-15T11:36:00Z</cp:lastPrinted>
  <dcterms:created xsi:type="dcterms:W3CDTF">2018-12-26T14:50:00Z</dcterms:created>
  <dcterms:modified xsi:type="dcterms:W3CDTF">2019-01-15T12:50:00Z</dcterms:modified>
</cp:coreProperties>
</file>