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5" w:rsidRPr="001C1CC5" w:rsidRDefault="008121CF" w:rsidP="00F7736B">
      <w:pPr>
        <w:pStyle w:val="Paragraphedeliste"/>
        <w:numPr>
          <w:ilvl w:val="0"/>
          <w:numId w:val="1"/>
        </w:numPr>
        <w:jc w:val="both"/>
      </w:pPr>
      <w:r>
        <w:t>On se place dans le cas d’une dose de 280mg réitérée toutes les 12h. On sait que dans ce cas, la concentration à l’équilibre est donnée par</w:t>
      </w:r>
      <w:r w:rsidR="004B7DB1">
        <w:t> </w:t>
      </w:r>
      <w:proofErr w:type="gramStart"/>
      <w:r w:rsidR="004B7DB1">
        <w:t xml:space="preserve">: 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Dose*F</m:t>
            </m:r>
          </m:num>
          <m:den>
            <m:r>
              <w:rPr>
                <w:rFonts w:ascii="Cambria Math" w:hAnsi="Cambria Math"/>
              </w:rPr>
              <m:t>CL*τ</m:t>
            </m:r>
          </m:den>
        </m:f>
      </m:oMath>
      <w:r>
        <w:rPr>
          <w:rFonts w:eastAsiaTheme="minorEastAsia"/>
        </w:rPr>
        <w:t xml:space="preserve">. </w:t>
      </w:r>
    </w:p>
    <w:p w:rsidR="00DB6456" w:rsidRPr="00DB6456" w:rsidRDefault="008121CF" w:rsidP="00DB6456">
      <w:pPr>
        <w:pStyle w:val="Paragraphedeliste"/>
        <w:jc w:val="both"/>
        <w:rPr>
          <w:rFonts w:eastAsiaTheme="minorEastAsia"/>
        </w:rPr>
      </w:pPr>
      <w:r>
        <w:rPr>
          <w:rFonts w:eastAsiaTheme="minorEastAsia"/>
        </w:rPr>
        <w:t xml:space="preserve">D’où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ss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280</m:t>
            </m:r>
          </m:num>
          <m:den>
            <m:r>
              <w:rPr>
                <w:rFonts w:ascii="Cambria Math" w:eastAsiaTheme="minorEastAsia" w:hAnsi="Cambria Math"/>
              </w:rPr>
              <m:t>1000*12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0.023mg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</w:p>
    <w:p w:rsidR="00DB6456" w:rsidRDefault="00DB6456" w:rsidP="00DB6456">
      <w:pPr>
        <w:pStyle w:val="Paragraphedeliste"/>
        <w:jc w:val="both"/>
      </w:pPr>
    </w:p>
    <w:p w:rsidR="001C1CC5" w:rsidRPr="00DB6456" w:rsidRDefault="001C1CC5" w:rsidP="00DB6456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>
        <w:t xml:space="preserve">D’après les informations données dans le RCP, on sait que « l’exposition à </w:t>
      </w:r>
      <w:proofErr w:type="spellStart"/>
      <w:r>
        <w:t>ibrutinib</w:t>
      </w:r>
      <w:proofErr w:type="spellEnd"/>
      <w:r>
        <w:t xml:space="preserve"> augmente proportionnellement à la dose » ce qui correspond à la définition de la linéarité pharmacocinétique. </w:t>
      </w:r>
      <w:r w:rsidR="00DB6456">
        <w:t xml:space="preserve">Egalement, </w:t>
      </w:r>
      <w:r w:rsidR="00DB6456">
        <w:t xml:space="preserve"> </w:t>
      </w:r>
      <w:proofErr w:type="spellStart"/>
      <w:r w:rsidR="00DB6456" w:rsidRPr="008C2164">
        <w:t>fu</w:t>
      </w:r>
      <w:proofErr w:type="spellEnd"/>
      <w:r w:rsidR="00DB6456" w:rsidRPr="008C2164">
        <w:t xml:space="preserve"> </w:t>
      </w:r>
      <w:r w:rsidR="00DB6456">
        <w:t>indépenda</w:t>
      </w:r>
      <w:r w:rsidR="00DB6456" w:rsidRPr="008C2164">
        <w:t xml:space="preserve">nt </w:t>
      </w:r>
      <w:r w:rsidR="00DB6456">
        <w:t>de la concentration »</w:t>
      </w:r>
      <w:r w:rsidR="00DB6456">
        <w:t xml:space="preserve">. </w:t>
      </w:r>
      <w:r>
        <w:t>On peut donc dire que l’</w:t>
      </w:r>
      <w:proofErr w:type="spellStart"/>
      <w:r>
        <w:t>ibrutinib</w:t>
      </w:r>
      <w:proofErr w:type="spellEnd"/>
      <w:r>
        <w:t xml:space="preserve"> a une PK linéaire.</w:t>
      </w:r>
    </w:p>
    <w:p w:rsidR="001C1CC5" w:rsidRDefault="001C1CC5" w:rsidP="00F7736B">
      <w:pPr>
        <w:pStyle w:val="Paragraphedeliste"/>
        <w:jc w:val="both"/>
      </w:pPr>
    </w:p>
    <w:p w:rsidR="00F7736B" w:rsidRPr="00F7736B" w:rsidRDefault="001C1CC5" w:rsidP="00F7736B">
      <w:pPr>
        <w:pStyle w:val="Paragraphedeliste"/>
        <w:numPr>
          <w:ilvl w:val="0"/>
          <w:numId w:val="1"/>
        </w:numPr>
        <w:jc w:val="both"/>
      </w:pPr>
      <w:r>
        <w:t xml:space="preserve">On sait que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CL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 xml:space="preserve">=1000 L/h </m:t>
        </m:r>
      </m:oMath>
      <w:r>
        <w:rPr>
          <w:rFonts w:eastAsiaTheme="minorEastAsia"/>
        </w:rPr>
        <w:t xml:space="preserve"> donc si </w:t>
      </w:r>
      <m:oMath>
        <m:r>
          <w:rPr>
            <w:rFonts w:ascii="Cambria Math" w:eastAsiaTheme="minorEastAsia" w:hAnsi="Cambria Math"/>
          </w:rPr>
          <m:t>F=0.08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alors </w:t>
      </w:r>
      <w:proofErr w:type="gramEnd"/>
      <m:oMath>
        <m:r>
          <w:rPr>
            <w:rFonts w:ascii="Cambria Math" w:eastAsiaTheme="minorEastAsia" w:hAnsi="Cambria Math"/>
          </w:rPr>
          <m:t>CL=1000*0.08=80 L/h=</m:t>
        </m:r>
        <m:r>
          <w:rPr>
            <w:rFonts w:ascii="Cambria Math" w:eastAsiaTheme="minorEastAsia" w:hAnsi="Cambria Math"/>
          </w:rPr>
          <m:t>1.33 L/min</m:t>
        </m:r>
      </m:oMath>
      <w:r w:rsidR="00F7736B">
        <w:rPr>
          <w:rFonts w:eastAsiaTheme="minorEastAsia"/>
        </w:rPr>
        <w:t xml:space="preserve">. Or on sait que la clairance est aussi définie par </w:t>
      </w:r>
      <m:oMath>
        <m:r>
          <w:rPr>
            <w:rFonts w:ascii="Cambria Math" w:eastAsiaTheme="minorEastAsia" w:hAnsi="Cambria Math"/>
          </w:rPr>
          <m:t>CL=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F7736B">
        <w:rPr>
          <w:rFonts w:eastAsiaTheme="minorEastAsia"/>
        </w:rPr>
        <w:t xml:space="preserve"> où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F7736B">
        <w:rPr>
          <w:rFonts w:eastAsiaTheme="minorEastAsia"/>
        </w:rPr>
        <w:t xml:space="preserve"> est le débit sanguin hépatique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F7736B">
        <w:rPr>
          <w:rFonts w:eastAsiaTheme="minorEastAsia"/>
        </w:rPr>
        <w:t xml:space="preserve"> le coefficient d’extraction hépatique. En considérant </w:t>
      </w:r>
      <w:proofErr w:type="gramStart"/>
      <w:r w:rsidR="00F7736B">
        <w:rPr>
          <w:rFonts w:eastAsiaTheme="minorEastAsia"/>
        </w:rPr>
        <w:t xml:space="preserve">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=1.5 L/min</m:t>
        </m:r>
      </m:oMath>
      <w:r w:rsidR="00F7736B">
        <w:rPr>
          <w:rFonts w:eastAsiaTheme="minorEastAsia"/>
        </w:rPr>
        <w:t xml:space="preserve"> on obtient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=0.89&gt;0.7</m:t>
        </m:r>
      </m:oMath>
      <w:proofErr w:type="gramEnd"/>
      <w:r w:rsidR="00F7736B">
        <w:rPr>
          <w:rFonts w:eastAsiaTheme="minorEastAsia"/>
        </w:rPr>
        <w:t xml:space="preserve"> ce qui correspond à une forte clairance métabolique hépatique.</w:t>
      </w:r>
    </w:p>
    <w:p w:rsidR="00F7736B" w:rsidRDefault="00F7736B" w:rsidP="00F7736B">
      <w:pPr>
        <w:pStyle w:val="Paragraphedeliste"/>
      </w:pPr>
    </w:p>
    <w:p w:rsidR="00797D47" w:rsidRDefault="00DB6456" w:rsidP="00797D47">
      <w:pPr>
        <w:pStyle w:val="Paragraphedeliste"/>
        <w:numPr>
          <w:ilvl w:val="0"/>
          <w:numId w:val="1"/>
        </w:numPr>
        <w:jc w:val="both"/>
      </w:pPr>
      <w:r>
        <w:t xml:space="preserve">Pour ce médicament à forte clairance, </w:t>
      </w:r>
      <w:r>
        <w:rPr>
          <w:rFonts w:eastAsiaTheme="minorEastAsia"/>
        </w:rPr>
        <w:t>clairance métabolique hépatique</w:t>
      </w:r>
      <w:r>
        <w:t xml:space="preserve"> </w:t>
      </w:r>
      <w:r>
        <w:sym w:font="Symbol" w:char="F0BB"/>
      </w:r>
      <w:r w:rsidR="00797D47">
        <w:t xml:space="preserve"> débit sanguin </w:t>
      </w:r>
      <w:proofErr w:type="spellStart"/>
      <w:r w:rsidR="00797D47">
        <w:t>hépatique.</w:t>
      </w:r>
      <w:proofErr w:type="spellEnd"/>
    </w:p>
    <w:p w:rsidR="00797D47" w:rsidRDefault="00797D47" w:rsidP="00797D47">
      <w:pPr>
        <w:pStyle w:val="Paragraphedeliste"/>
      </w:pPr>
    </w:p>
    <w:p w:rsidR="00797D47" w:rsidRDefault="00797D47" w:rsidP="00797D47">
      <w:pPr>
        <w:pStyle w:val="Paragraphedeliste"/>
        <w:numPr>
          <w:ilvl w:val="0"/>
          <w:numId w:val="1"/>
        </w:numPr>
        <w:jc w:val="both"/>
      </w:pPr>
      <w:proofErr w:type="spellStart"/>
      <w:r>
        <w:t>Vd</w:t>
      </w:r>
      <w:proofErr w:type="spellEnd"/>
      <w:r>
        <w:t xml:space="preserve">, pas de raison, CL, très, très peu (voir ci-dessus) ; F va être </w:t>
      </w:r>
      <w:r w:rsidR="00B44846">
        <w:t xml:space="preserve">nettement </w:t>
      </w:r>
      <w:bookmarkStart w:id="0" w:name="_GoBack"/>
      <w:bookmarkEnd w:id="0"/>
      <w:r>
        <w:t>modifié ; démonstration : F = (si on considère que la perte=fraction non absorbée est essentiellement liée à effet de 1</w:t>
      </w:r>
      <w:r w:rsidRPr="00797D47">
        <w:rPr>
          <w:vertAlign w:val="superscript"/>
        </w:rPr>
        <w:t>er</w:t>
      </w:r>
      <w:r>
        <w:t xml:space="preserve"> passage hépatique= 1 – EH = 1 – </w:t>
      </w:r>
      <w:proofErr w:type="spellStart"/>
      <w:r>
        <w:t>fu.CLin</w:t>
      </w:r>
      <w:proofErr w:type="spellEnd"/>
      <w:r>
        <w:t xml:space="preserve">/ (QH + </w:t>
      </w:r>
      <w:proofErr w:type="spellStart"/>
      <w:r>
        <w:t>fu.CLint</w:t>
      </w:r>
      <w:proofErr w:type="spellEnd"/>
      <w:r>
        <w:t xml:space="preserve">) ; EH = 0,92 =  </w:t>
      </w:r>
      <w:proofErr w:type="spellStart"/>
      <w:r>
        <w:t>fu.CLin</w:t>
      </w:r>
      <w:proofErr w:type="spellEnd"/>
      <w:r>
        <w:t xml:space="preserve">/ (1,5L/min + </w:t>
      </w:r>
      <w:proofErr w:type="spellStart"/>
      <w:r>
        <w:t>fu.CLint</w:t>
      </w:r>
      <w:proofErr w:type="spellEnd"/>
      <w:r>
        <w:t xml:space="preserve">)  … </w:t>
      </w:r>
      <w:proofErr w:type="spellStart"/>
      <w:r>
        <w:t>fu.CLint</w:t>
      </w:r>
      <w:proofErr w:type="spellEnd"/>
      <w:r>
        <w:t xml:space="preserve"> = 0,92 x 1,5 / 0,08 = 17 L/min ; modification de </w:t>
      </w:r>
      <w:proofErr w:type="spellStart"/>
      <w:r>
        <w:t>CLint</w:t>
      </w:r>
      <w:proofErr w:type="spellEnd"/>
      <w:r>
        <w:t xml:space="preserve"> (induction ou inhibition) auront des conséquences sur F : par exemple </w:t>
      </w:r>
      <w:proofErr w:type="spellStart"/>
      <w:r>
        <w:t>CLint</w:t>
      </w:r>
      <w:proofErr w:type="spellEnd"/>
      <w:r>
        <w:t xml:space="preserve"> double du fait d’induction : </w:t>
      </w:r>
      <w:proofErr w:type="spellStart"/>
      <w:r>
        <w:t>CLint</w:t>
      </w:r>
      <w:proofErr w:type="spellEnd"/>
      <w:r>
        <w:t>’ = 34 L/min … EH’ = 0,96 ; F’ = 4% (diminuée d’un facteur 2)</w:t>
      </w:r>
    </w:p>
    <w:p w:rsidR="00797D47" w:rsidRDefault="00797D47" w:rsidP="00797D47">
      <w:pPr>
        <w:pStyle w:val="Paragraphedeliste"/>
      </w:pPr>
    </w:p>
    <w:p w:rsidR="00797D47" w:rsidRDefault="00797D47" w:rsidP="00797D47">
      <w:pPr>
        <w:pStyle w:val="Paragraphedeliste"/>
        <w:numPr>
          <w:ilvl w:val="0"/>
          <w:numId w:val="1"/>
        </w:numPr>
        <w:jc w:val="both"/>
      </w:pPr>
      <w:r>
        <w:t>Quand médicament à faible EH, induction et inhibition modifient CL sans affecter significativement F : AUC modifiée mais peu (et en tout cas, beaucoup moins) de F</w:t>
      </w:r>
      <w:r>
        <w:t xml:space="preserve">, et donc </w:t>
      </w:r>
      <w:proofErr w:type="spellStart"/>
      <w:r>
        <w:t>Cmax</w:t>
      </w:r>
      <w:proofErr w:type="spellEnd"/>
      <w:r>
        <w:t xml:space="preserve"> peu modifié. Pour </w:t>
      </w:r>
      <w:proofErr w:type="spellStart"/>
      <w:r>
        <w:t>ibrutinib</w:t>
      </w:r>
      <w:proofErr w:type="spellEnd"/>
      <w:r>
        <w:t>, </w:t>
      </w:r>
      <w:r>
        <w:t xml:space="preserve">F est modifié donc </w:t>
      </w:r>
      <w:proofErr w:type="spellStart"/>
      <w:r>
        <w:t>Cmax</w:t>
      </w:r>
      <w:proofErr w:type="spellEnd"/>
      <w:r>
        <w:t xml:space="preserve"> et AUC modifiés dans les mêmes proportions.</w:t>
      </w:r>
    </w:p>
    <w:p w:rsidR="00AB78EC" w:rsidRDefault="00AB78EC" w:rsidP="00AB78EC">
      <w:pPr>
        <w:pStyle w:val="Paragraphedeliste"/>
      </w:pPr>
    </w:p>
    <w:p w:rsidR="00922D39" w:rsidRDefault="00AB78EC" w:rsidP="00921946">
      <w:pPr>
        <w:pStyle w:val="Paragraphedeliste"/>
        <w:numPr>
          <w:ilvl w:val="0"/>
          <w:numId w:val="1"/>
        </w:numPr>
        <w:jc w:val="both"/>
      </w:pPr>
      <w:r>
        <w:t>Le pamplemousse est connu pour avoir un effet inhibiteur du CYP3A4</w:t>
      </w:r>
      <w:r w:rsidR="00922D39">
        <w:t xml:space="preserve">, c’est pour cela qu’il est déconseillé d’en prendre en même temps que le traitement par </w:t>
      </w:r>
      <w:proofErr w:type="spellStart"/>
      <w:r w:rsidR="00922D39">
        <w:t>ibrutinib</w:t>
      </w:r>
      <w:proofErr w:type="spellEnd"/>
      <w:r w:rsidR="00922D39">
        <w:t>.</w:t>
      </w:r>
    </w:p>
    <w:p w:rsidR="00922D39" w:rsidRDefault="00922D39" w:rsidP="00922D39">
      <w:pPr>
        <w:pStyle w:val="Paragraphedeliste"/>
      </w:pPr>
    </w:p>
    <w:p w:rsidR="00921946" w:rsidRDefault="00922D39" w:rsidP="00921946">
      <w:pPr>
        <w:pStyle w:val="Paragraphedeliste"/>
        <w:numPr>
          <w:ilvl w:val="0"/>
          <w:numId w:val="1"/>
        </w:numPr>
        <w:jc w:val="both"/>
      </w:pPr>
      <w:r>
        <w:t xml:space="preserve">Contrairement aux anticancéreux cytotoxiques qui </w:t>
      </w:r>
      <w:r w:rsidR="003F5BDC">
        <w:t>inter</w:t>
      </w:r>
      <w:r>
        <w:t>agissent sur l’ADN, l’</w:t>
      </w:r>
      <w:proofErr w:type="spellStart"/>
      <w:r>
        <w:t>ibritunib</w:t>
      </w:r>
      <w:proofErr w:type="spellEnd"/>
      <w:r>
        <w:t xml:space="preserve"> </w:t>
      </w:r>
      <w:r w:rsidR="003F5BDC">
        <w:t>est une thérapie</w:t>
      </w:r>
      <w:r w:rsidR="004B7DB1">
        <w:t xml:space="preserve"> ciblée </w:t>
      </w:r>
      <w:r w:rsidR="003F5BDC">
        <w:t xml:space="preserve">qui n’interagit pas avec l’ADN et n’a pas d’effet mutagène. </w:t>
      </w:r>
      <w:r>
        <w:t>Il est donc possible de réaliser des essais chez le sujet sain</w:t>
      </w:r>
      <w:r w:rsidR="00AB78EC">
        <w:t xml:space="preserve"> </w:t>
      </w:r>
      <w:r>
        <w:t>sans encourir les risques importants.</w:t>
      </w:r>
    </w:p>
    <w:p w:rsidR="00922D39" w:rsidRDefault="00922D39" w:rsidP="00922D39">
      <w:pPr>
        <w:pStyle w:val="Paragraphedeliste"/>
      </w:pPr>
    </w:p>
    <w:p w:rsidR="003F5BDC" w:rsidRDefault="00533CFB" w:rsidP="003F5BDC">
      <w:pPr>
        <w:pStyle w:val="Paragraphedeliste"/>
        <w:numPr>
          <w:ilvl w:val="0"/>
          <w:numId w:val="1"/>
        </w:numPr>
        <w:jc w:val="both"/>
      </w:pPr>
      <w:r>
        <w:t xml:space="preserve">L’étude in vitro consiste à utiliser des cellules </w:t>
      </w:r>
      <w:r w:rsidR="004B7DB1">
        <w:t xml:space="preserve">du type </w:t>
      </w:r>
      <w:r>
        <w:t>Caco-2 exprimant la P-gp. Ces cellules sont placées sur une membrane. On dépose le médicament d’intérêt sur cette membrane. On réalise le dosage de l’</w:t>
      </w:r>
      <w:proofErr w:type="spellStart"/>
      <w:r>
        <w:t>ibrutinib</w:t>
      </w:r>
      <w:proofErr w:type="spellEnd"/>
      <w:r>
        <w:t xml:space="preserve"> avant et après passage de cette membrane pour savoir si la molécule est transportée ou non par la P-</w:t>
      </w:r>
      <w:proofErr w:type="spellStart"/>
      <w:r>
        <w:t>gp.</w:t>
      </w:r>
      <w:proofErr w:type="spellEnd"/>
    </w:p>
    <w:p w:rsidR="003F5BDC" w:rsidRDefault="003F5BDC" w:rsidP="003F5BDC">
      <w:pPr>
        <w:pStyle w:val="Paragraphedeliste"/>
      </w:pPr>
    </w:p>
    <w:p w:rsidR="003F5BDC" w:rsidRDefault="003F5BDC" w:rsidP="003F5BDC">
      <w:pPr>
        <w:pStyle w:val="Paragraphedeliste"/>
        <w:numPr>
          <w:ilvl w:val="0"/>
          <w:numId w:val="1"/>
        </w:numPr>
        <w:jc w:val="both"/>
      </w:pPr>
      <w:proofErr w:type="spellStart"/>
      <w:r>
        <w:t>Vd</w:t>
      </w:r>
      <w:proofErr w:type="spellEnd"/>
      <w:r>
        <w:t xml:space="preserve"> = 10 </w:t>
      </w:r>
      <w:proofErr w:type="gramStart"/>
      <w:r>
        <w:t>000L .</w:t>
      </w:r>
      <w:proofErr w:type="gramEnd"/>
      <w:r>
        <w:t xml:space="preserve"> 0.08 = 800 L &gt;&gt; </w:t>
      </w:r>
      <w:proofErr w:type="spellStart"/>
      <w:r>
        <w:t>Vplasma</w:t>
      </w:r>
      <w:proofErr w:type="spellEnd"/>
      <w:r>
        <w:t xml:space="preserve"> ; donc </w:t>
      </w:r>
      <w:proofErr w:type="spellStart"/>
      <w:r>
        <w:t>VT.fu</w:t>
      </w:r>
      <w:proofErr w:type="spellEnd"/>
      <w:r>
        <w:t>/</w:t>
      </w:r>
      <w:proofErr w:type="spellStart"/>
      <w:r>
        <w:t>fu</w:t>
      </w:r>
      <w:proofErr w:type="gramStart"/>
      <w:r>
        <w:t>,T</w:t>
      </w:r>
      <w:proofErr w:type="spellEnd"/>
      <w:proofErr w:type="gramEnd"/>
      <w:r>
        <w:t xml:space="preserve"> proche de 800 L donc grande affinité pour éléments tissulaires</w:t>
      </w:r>
    </w:p>
    <w:p w:rsidR="00533CFB" w:rsidRDefault="00533CFB" w:rsidP="00533CFB">
      <w:pPr>
        <w:pStyle w:val="Paragraphedeliste"/>
      </w:pPr>
    </w:p>
    <w:p w:rsidR="00410B85" w:rsidRDefault="00533CFB" w:rsidP="00410B85">
      <w:pPr>
        <w:pStyle w:val="Paragraphedeliste"/>
        <w:numPr>
          <w:ilvl w:val="0"/>
          <w:numId w:val="1"/>
        </w:numPr>
        <w:jc w:val="both"/>
      </w:pPr>
      <w:r>
        <w:t>Pour connaître l’influence du polymorphisme du CYP2D6 sur la PK de l’</w:t>
      </w:r>
      <w:proofErr w:type="spellStart"/>
      <w:r>
        <w:t>ibrutinib</w:t>
      </w:r>
      <w:proofErr w:type="spellEnd"/>
      <w:r>
        <w:t>, il faut réalis</w:t>
      </w:r>
      <w:r w:rsidR="00B535D8">
        <w:t>er</w:t>
      </w:r>
      <w:r>
        <w:t xml:space="preserve"> une étude</w:t>
      </w:r>
      <w:r w:rsidR="00B535D8">
        <w:t xml:space="preserve"> PG-PK</w:t>
      </w:r>
      <w:r w:rsidR="00410B85">
        <w:t xml:space="preserve"> où</w:t>
      </w:r>
      <w:r>
        <w:t xml:space="preserve"> les sujets auront un prélèvement sanguin </w:t>
      </w:r>
      <w:r w:rsidR="00762CAB">
        <w:t xml:space="preserve">ou salivaire </w:t>
      </w:r>
      <w:r>
        <w:t xml:space="preserve">qui </w:t>
      </w:r>
      <w:r>
        <w:lastRenderedPageBreak/>
        <w:t>permettra de déterminer leur profil génétique pour le CYP2D6 et des prélèvements plasmatiques après administration d’</w:t>
      </w:r>
      <w:proofErr w:type="spellStart"/>
      <w:r>
        <w:t>ibrutinib</w:t>
      </w:r>
      <w:proofErr w:type="spellEnd"/>
      <w:r>
        <w:t xml:space="preserve"> pour déterminer leur profil PK. </w:t>
      </w:r>
      <w:r w:rsidR="00333899">
        <w:t xml:space="preserve">Pour le CYP2D6, la littérature nous permet de savoir quels sont les allèles associés à </w:t>
      </w:r>
      <w:proofErr w:type="gramStart"/>
      <w:r w:rsidR="00333899">
        <w:t>une</w:t>
      </w:r>
      <w:proofErr w:type="gramEnd"/>
      <w:r w:rsidR="00333899">
        <w:t xml:space="preserve"> forte ou à une faible </w:t>
      </w:r>
      <w:r w:rsidR="00B535D8">
        <w:t>activité</w:t>
      </w:r>
      <w:r w:rsidR="00333899">
        <w:t xml:space="preserve">. En fonction des allèles déterminés pour un patient donné, il sera classé comme </w:t>
      </w:r>
      <w:proofErr w:type="spellStart"/>
      <w:r w:rsidR="00333899">
        <w:t>métaboliseur</w:t>
      </w:r>
      <w:proofErr w:type="spellEnd"/>
      <w:r w:rsidR="00333899">
        <w:t xml:space="preserve"> lent ou rapide. On compare ensuite les profils PK dans les deux groupes pour déterminer s’il existe une différence statistiquement significative.</w:t>
      </w:r>
      <w:r w:rsidR="00410B85">
        <w:t xml:space="preserve"> </w:t>
      </w:r>
    </w:p>
    <w:p w:rsidR="00151437" w:rsidRDefault="00151437" w:rsidP="00151437">
      <w:pPr>
        <w:pStyle w:val="Paragraphedeliste"/>
      </w:pPr>
    </w:p>
    <w:p w:rsidR="00151437" w:rsidRDefault="00151437" w:rsidP="00151437">
      <w:pPr>
        <w:pStyle w:val="Paragraphedeliste"/>
        <w:numPr>
          <w:ilvl w:val="0"/>
          <w:numId w:val="1"/>
        </w:numPr>
        <w:jc w:val="both"/>
      </w:pPr>
      <w:r>
        <w:t>La demi-vie de l’</w:t>
      </w:r>
      <w:proofErr w:type="spellStart"/>
      <w:r>
        <w:t>ibrutinib</w:t>
      </w:r>
      <w:proofErr w:type="spellEnd"/>
      <w:r>
        <w:t xml:space="preserve"> dépend de sa clairance et de son volume de distribution. </w:t>
      </w:r>
      <w:r w:rsidR="002B5579">
        <w:t xml:space="preserve">Le volume de distribution important a pour effet de prolonger la demi-vie mais </w:t>
      </w:r>
      <w:r w:rsidR="00B535D8">
        <w:t>l</w:t>
      </w:r>
      <w:r w:rsidR="002B5579">
        <w:t>a clairance étant également importante, on obtient finalement une demi-vie relativement courte.</w:t>
      </w:r>
    </w:p>
    <w:p w:rsidR="00151437" w:rsidRDefault="00151437" w:rsidP="00151437">
      <w:pPr>
        <w:pStyle w:val="Paragraphedeliste"/>
      </w:pPr>
    </w:p>
    <w:p w:rsidR="00151437" w:rsidRPr="00151437" w:rsidRDefault="00151437" w:rsidP="00151437">
      <w:pPr>
        <w:pStyle w:val="Paragraphedeliste"/>
        <w:numPr>
          <w:ilvl w:val="0"/>
          <w:numId w:val="1"/>
        </w:numPr>
        <w:jc w:val="both"/>
      </w:pPr>
      <w:r>
        <w:t>Le rapport entre l’exposition à l’</w:t>
      </w:r>
      <w:proofErr w:type="spellStart"/>
      <w:r>
        <w:t>ibrutinib</w:t>
      </w:r>
      <w:proofErr w:type="spellEnd"/>
      <w:r>
        <w:t xml:space="preserve"> à l’état d’équilibre et à la première dose est donné par le </w:t>
      </w:r>
      <w:r w:rsidR="00B535D8">
        <w:t>rapport</w:t>
      </w:r>
      <w:r>
        <w:t xml:space="preserve"> d’accumulation. Celui-ci dépend de l’intervalle posologique </w:t>
      </w: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et de la demi-vie. Si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τ</m:t>
        </m:r>
        <m:r>
          <m:rPr>
            <m:sty m:val="p"/>
          </m:rP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1/2</m:t>
            </m:r>
          </m:sub>
        </m:sSub>
      </m:oMath>
      <w:r>
        <w:rPr>
          <w:rFonts w:eastAsiaTheme="minorEastAsia"/>
        </w:rPr>
        <w:t xml:space="preserve"> le rapport d’accumulation vaut 2. Mais </w:t>
      </w:r>
      <w:proofErr w:type="gramStart"/>
      <w:r>
        <w:rPr>
          <w:rFonts w:eastAsiaTheme="minorEastAsia"/>
        </w:rPr>
        <w:t xml:space="preserve">si </w:t>
      </w:r>
      <w:r w:rsidR="00B535D8">
        <w:rPr>
          <w:rFonts w:eastAsiaTheme="minorEastAsia"/>
        </w:rPr>
        <w:t xml:space="preserve"> </w:t>
      </w:r>
      <w:proofErr w:type="gramEnd"/>
      <m:oMath>
        <m:r>
          <w:rPr>
            <w:rFonts w:ascii="Cambria Math" w:hAnsi="Cambria Math"/>
          </w:rPr>
          <m:t>τ</m:t>
        </m:r>
        <m:r>
          <m:rPr>
            <m:sty m:val="p"/>
          </m:rPr>
          <w:rPr>
            <w:rFonts w:ascii="Cambria Math" w:eastAsiaTheme="minorEastAsia"/>
          </w:rPr>
          <m:t>&gt;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1/2</m:t>
            </m:r>
          </m:sub>
        </m:sSub>
      </m:oMath>
      <w:r>
        <w:rPr>
          <w:rFonts w:eastAsiaTheme="minorEastAsia"/>
        </w:rPr>
        <w:t>, alors le rapport sera inférieur à 2. C’est le cas pour l’</w:t>
      </w:r>
      <w:proofErr w:type="spellStart"/>
      <w:r>
        <w:rPr>
          <w:rFonts w:eastAsiaTheme="minorEastAsia"/>
        </w:rPr>
        <w:t>ibrutinib</w:t>
      </w:r>
      <w:proofErr w:type="spellEnd"/>
      <w:r>
        <w:rPr>
          <w:rFonts w:eastAsiaTheme="minorEastAsia"/>
        </w:rPr>
        <w:t xml:space="preserve"> qui a une demi-vie courte (6h) par rapport à l’intervalle posologique (24h). C’est pour cela qu’à l’équilibre, l’exposition est inférieure à deux fois celle de la première dose.</w:t>
      </w:r>
    </w:p>
    <w:p w:rsidR="00151437" w:rsidRDefault="00151437" w:rsidP="00151437">
      <w:pPr>
        <w:pStyle w:val="Paragraphedeliste"/>
      </w:pPr>
    </w:p>
    <w:p w:rsidR="00BC7B46" w:rsidRDefault="00BC7B46" w:rsidP="00BC7B46">
      <w:pPr>
        <w:pStyle w:val="Paragraphedeliste"/>
        <w:numPr>
          <w:ilvl w:val="0"/>
          <w:numId w:val="1"/>
        </w:numPr>
        <w:jc w:val="both"/>
      </w:pPr>
      <w:r>
        <w:t xml:space="preserve">L’étude pharmacocinétique de population permet de </w:t>
      </w:r>
      <w:r w:rsidR="00410B85">
        <w:t>décrire</w:t>
      </w:r>
      <w:r>
        <w:t xml:space="preserve"> le profil de concentration typique dans la population ainsi que la variabilité </w:t>
      </w:r>
      <w:proofErr w:type="spellStart"/>
      <w:r>
        <w:t>inter-individuelle</w:t>
      </w:r>
      <w:proofErr w:type="spellEnd"/>
      <w:r>
        <w:t xml:space="preserve">. </w:t>
      </w:r>
      <w:r w:rsidR="00410B85">
        <w:t>Avec ce type de modèle, on peut</w:t>
      </w:r>
      <w:r>
        <w:t xml:space="preserve"> tester l’</w:t>
      </w:r>
      <w:r w:rsidR="00410B85">
        <w:t xml:space="preserve">influence de </w:t>
      </w:r>
      <w:proofErr w:type="spellStart"/>
      <w:r w:rsidR="00410B85">
        <w:t>covariables</w:t>
      </w:r>
      <w:proofErr w:type="spellEnd"/>
      <w:r w:rsidR="00410B85">
        <w:t xml:space="preserve"> pour déterminer</w:t>
      </w:r>
      <w:r>
        <w:t xml:space="preserve"> si elles peuvent expliquer cette variabilité. On peut imaginer tester l’influence de </w:t>
      </w:r>
      <w:proofErr w:type="spellStart"/>
      <w:r>
        <w:t>covariables</w:t>
      </w:r>
      <w:proofErr w:type="spellEnd"/>
      <w:r>
        <w:t xml:space="preserve"> qui décriraient l’état des fonctions hépatique et rénale et ainsi déterminer si ce sont des paramètres à prendre en compte au moment du traitement, sans avoir besoin de mener des études spécifiques</w:t>
      </w:r>
      <w:r w:rsidR="00410B85">
        <w:t xml:space="preserve"> sur le sujet</w:t>
      </w:r>
      <w:r>
        <w:t>.</w:t>
      </w:r>
    </w:p>
    <w:p w:rsidR="00BC7B46" w:rsidRDefault="00BC7B46" w:rsidP="00BC7B46">
      <w:pPr>
        <w:pStyle w:val="Paragraphedeliste"/>
      </w:pPr>
    </w:p>
    <w:p w:rsidR="00BC7B46" w:rsidRDefault="00BC7B46" w:rsidP="00BC7B46">
      <w:pPr>
        <w:pStyle w:val="Paragraphedeliste"/>
        <w:jc w:val="both"/>
      </w:pPr>
      <w:r>
        <w:t>Pour l’influence du sexe, il n’existait a priori pas d’informations laissant penser qu</w:t>
      </w:r>
      <w:r w:rsidR="00410B85">
        <w:t>e l</w:t>
      </w:r>
      <w:r>
        <w:t>’on pourrait observer une différence entre homme et femme, le résultat était donc attendu. En revanche, pour l’âge, on aurait pu penser à une influence dans le sens où, par exemple, la fonction hépatique a tendance à se dégrader avec l’âge. Néanmoins l’</w:t>
      </w:r>
      <w:proofErr w:type="spellStart"/>
      <w:r>
        <w:t>ibrutinib</w:t>
      </w:r>
      <w:proofErr w:type="spellEnd"/>
      <w:r>
        <w:t xml:space="preserve"> étant prescrit à des patients qui sont pour la plupart des sujets âgés, il est </w:t>
      </w:r>
      <w:r w:rsidR="00410B85">
        <w:t>attendu</w:t>
      </w:r>
      <w:r>
        <w:t xml:space="preserve"> de ne pas observer d’influence de l’âge.</w:t>
      </w:r>
    </w:p>
    <w:sectPr w:rsidR="00BC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3ED"/>
    <w:multiLevelType w:val="hybridMultilevel"/>
    <w:tmpl w:val="92043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1D1"/>
    <w:multiLevelType w:val="hybridMultilevel"/>
    <w:tmpl w:val="3586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F"/>
    <w:rsid w:val="00151437"/>
    <w:rsid w:val="001C1CC5"/>
    <w:rsid w:val="002B5579"/>
    <w:rsid w:val="003204CF"/>
    <w:rsid w:val="00333899"/>
    <w:rsid w:val="003F5BDC"/>
    <w:rsid w:val="00410B85"/>
    <w:rsid w:val="00473557"/>
    <w:rsid w:val="004B7DB1"/>
    <w:rsid w:val="00533CFB"/>
    <w:rsid w:val="005C77D5"/>
    <w:rsid w:val="00676E14"/>
    <w:rsid w:val="00762CAB"/>
    <w:rsid w:val="00797D47"/>
    <w:rsid w:val="008121CF"/>
    <w:rsid w:val="00921946"/>
    <w:rsid w:val="00922D39"/>
    <w:rsid w:val="00AB78EC"/>
    <w:rsid w:val="00B44846"/>
    <w:rsid w:val="00B535D8"/>
    <w:rsid w:val="00BC7B46"/>
    <w:rsid w:val="00DB6456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1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121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1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121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PharmacoICR</dc:creator>
  <cp:lastModifiedBy>tete</cp:lastModifiedBy>
  <cp:revision>6</cp:revision>
  <dcterms:created xsi:type="dcterms:W3CDTF">2017-12-08T14:02:00Z</dcterms:created>
  <dcterms:modified xsi:type="dcterms:W3CDTF">2017-12-08T14:31:00Z</dcterms:modified>
</cp:coreProperties>
</file>