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C8F" w:rsidRDefault="005E1C8F" w:rsidP="008F1B08">
      <w:pPr>
        <w:rPr>
          <w:rFonts w:ascii="Times New Roman" w:hAnsi="Times New Roman" w:cs="Times New Roman"/>
          <w:b/>
          <w:bCs/>
          <w:sz w:val="28"/>
          <w:szCs w:val="28"/>
        </w:rPr>
      </w:pPr>
      <w:r>
        <w:rPr>
          <w:rFonts w:ascii="Times New Roman" w:hAnsi="Times New Roman" w:cs="Times New Roman"/>
          <w:b/>
          <w:bCs/>
          <w:sz w:val="28"/>
          <w:szCs w:val="28"/>
        </w:rPr>
        <w:t>Examen UE Base M2pharmacologie 2018-19 session 2</w:t>
      </w:r>
    </w:p>
    <w:p w:rsidR="008F1B08" w:rsidRDefault="008F1B08" w:rsidP="008F1B08">
      <w:pPr>
        <w:rPr>
          <w:rFonts w:ascii="Times New Roman" w:hAnsi="Times New Roman" w:cs="Times New Roman"/>
          <w:b/>
          <w:bCs/>
          <w:sz w:val="28"/>
          <w:szCs w:val="28"/>
        </w:rPr>
      </w:pPr>
      <w:r>
        <w:rPr>
          <w:rFonts w:ascii="Times New Roman" w:hAnsi="Times New Roman" w:cs="Times New Roman"/>
          <w:b/>
          <w:bCs/>
          <w:sz w:val="28"/>
          <w:szCs w:val="28"/>
        </w:rPr>
        <w:t>Question 2</w:t>
      </w:r>
      <w:r w:rsidR="00B44F1D">
        <w:rPr>
          <w:rFonts w:ascii="Times New Roman" w:hAnsi="Times New Roman" w:cs="Times New Roman"/>
          <w:b/>
          <w:bCs/>
          <w:sz w:val="28"/>
          <w:szCs w:val="28"/>
        </w:rPr>
        <w:t xml:space="preserve"> (documents autorisés)</w:t>
      </w:r>
    </w:p>
    <w:p w:rsidR="00FD364F" w:rsidRPr="00985605" w:rsidRDefault="00464D77" w:rsidP="008F1B08">
      <w:pPr>
        <w:rPr>
          <w:lang w:val="en-US"/>
        </w:rPr>
      </w:pPr>
      <w:r>
        <w:t xml:space="preserve">Les documents ci-dessous sont </w:t>
      </w:r>
      <w:proofErr w:type="gramStart"/>
      <w:r>
        <w:t>extrait</w:t>
      </w:r>
      <w:proofErr w:type="gramEnd"/>
      <w:r>
        <w:t xml:space="preserve"> d’un article publié dans  </w:t>
      </w:r>
      <w:hyperlink r:id="rId7" w:tooltip="Journal of clinical pharmacology." w:history="1">
        <w:r w:rsidR="00FD364F" w:rsidRPr="00FD364F">
          <w:rPr>
            <w:rFonts w:ascii="Times New Roman" w:eastAsia="Times New Roman" w:hAnsi="Times New Roman" w:cs="Times New Roman"/>
            <w:color w:val="0000FF"/>
            <w:sz w:val="24"/>
            <w:szCs w:val="24"/>
            <w:u w:val="single"/>
            <w:lang w:eastAsia="fr-FR"/>
          </w:rPr>
          <w:t xml:space="preserve">J Clin </w:t>
        </w:r>
        <w:proofErr w:type="spellStart"/>
        <w:r w:rsidR="00FD364F" w:rsidRPr="00FD364F">
          <w:rPr>
            <w:rFonts w:ascii="Times New Roman" w:eastAsia="Times New Roman" w:hAnsi="Times New Roman" w:cs="Times New Roman"/>
            <w:color w:val="0000FF"/>
            <w:sz w:val="24"/>
            <w:szCs w:val="24"/>
            <w:u w:val="single"/>
            <w:lang w:eastAsia="fr-FR"/>
          </w:rPr>
          <w:t>Pharmacol</w:t>
        </w:r>
        <w:proofErr w:type="spellEnd"/>
        <w:r w:rsidR="00FD364F" w:rsidRPr="00FD364F">
          <w:rPr>
            <w:rFonts w:ascii="Times New Roman" w:eastAsia="Times New Roman" w:hAnsi="Times New Roman" w:cs="Times New Roman"/>
            <w:color w:val="0000FF"/>
            <w:sz w:val="24"/>
            <w:szCs w:val="24"/>
            <w:u w:val="single"/>
            <w:lang w:eastAsia="fr-FR"/>
          </w:rPr>
          <w:t>.</w:t>
        </w:r>
      </w:hyperlink>
      <w:r w:rsidR="00FD364F" w:rsidRPr="00FD364F">
        <w:rPr>
          <w:rFonts w:ascii="Times New Roman" w:eastAsia="Times New Roman" w:hAnsi="Times New Roman" w:cs="Times New Roman"/>
          <w:sz w:val="24"/>
          <w:szCs w:val="24"/>
          <w:lang w:eastAsia="fr-FR"/>
        </w:rPr>
        <w:t xml:space="preserve"> </w:t>
      </w:r>
      <w:r w:rsidR="00FD364F" w:rsidRPr="005E1C8F">
        <w:rPr>
          <w:rFonts w:ascii="Times New Roman" w:eastAsia="Times New Roman" w:hAnsi="Times New Roman" w:cs="Times New Roman"/>
          <w:sz w:val="24"/>
          <w:szCs w:val="24"/>
          <w:lang w:val="en-US" w:eastAsia="fr-FR"/>
        </w:rPr>
        <w:t>2015 Sep</w:t>
      </w:r>
      <w:proofErr w:type="gramStart"/>
      <w:r w:rsidR="00FD364F" w:rsidRPr="005E1C8F">
        <w:rPr>
          <w:rFonts w:ascii="Times New Roman" w:eastAsia="Times New Roman" w:hAnsi="Times New Roman" w:cs="Times New Roman"/>
          <w:sz w:val="24"/>
          <w:szCs w:val="24"/>
          <w:lang w:val="en-US" w:eastAsia="fr-FR"/>
        </w:rPr>
        <w:t>;55</w:t>
      </w:r>
      <w:proofErr w:type="gramEnd"/>
      <w:r w:rsidR="00FD364F" w:rsidRPr="005E1C8F">
        <w:rPr>
          <w:rFonts w:ascii="Times New Roman" w:eastAsia="Times New Roman" w:hAnsi="Times New Roman" w:cs="Times New Roman"/>
          <w:sz w:val="24"/>
          <w:szCs w:val="24"/>
          <w:lang w:val="en-US" w:eastAsia="fr-FR"/>
        </w:rPr>
        <w:t xml:space="preserve">(9):1012-23. </w:t>
      </w:r>
      <w:proofErr w:type="spellStart"/>
      <w:proofErr w:type="gramStart"/>
      <w:r w:rsidR="00FD364F" w:rsidRPr="005E1C8F">
        <w:rPr>
          <w:rFonts w:ascii="Times New Roman" w:eastAsia="Times New Roman" w:hAnsi="Times New Roman" w:cs="Times New Roman"/>
          <w:sz w:val="24"/>
          <w:szCs w:val="24"/>
          <w:lang w:val="en-US" w:eastAsia="fr-FR"/>
        </w:rPr>
        <w:t>doi</w:t>
      </w:r>
      <w:proofErr w:type="spellEnd"/>
      <w:proofErr w:type="gramEnd"/>
      <w:r w:rsidR="00FD364F" w:rsidRPr="005E1C8F">
        <w:rPr>
          <w:rFonts w:ascii="Times New Roman" w:eastAsia="Times New Roman" w:hAnsi="Times New Roman" w:cs="Times New Roman"/>
          <w:sz w:val="24"/>
          <w:szCs w:val="24"/>
          <w:lang w:val="en-US" w:eastAsia="fr-FR"/>
        </w:rPr>
        <w:t xml:space="preserve">: 10.1002/jcph.510. </w:t>
      </w:r>
      <w:proofErr w:type="spellStart"/>
      <w:r w:rsidR="00FD364F" w:rsidRPr="00464D77">
        <w:rPr>
          <w:rFonts w:ascii="Times New Roman" w:eastAsia="Times New Roman" w:hAnsi="Times New Roman" w:cs="Times New Roman"/>
          <w:sz w:val="24"/>
          <w:szCs w:val="24"/>
          <w:lang w:val="en-US" w:eastAsia="fr-FR"/>
        </w:rPr>
        <w:t>Epub</w:t>
      </w:r>
      <w:proofErr w:type="spellEnd"/>
      <w:r w:rsidR="00FD364F" w:rsidRPr="00464D77">
        <w:rPr>
          <w:rFonts w:ascii="Times New Roman" w:eastAsia="Times New Roman" w:hAnsi="Times New Roman" w:cs="Times New Roman"/>
          <w:sz w:val="24"/>
          <w:szCs w:val="24"/>
          <w:lang w:val="en-US" w:eastAsia="fr-FR"/>
        </w:rPr>
        <w:t xml:space="preserve"> 2015 Jun 2.</w:t>
      </w:r>
    </w:p>
    <w:p w:rsidR="00464D77" w:rsidRDefault="00FD364F" w:rsidP="00464D77">
      <w:pPr>
        <w:spacing w:before="100" w:beforeAutospacing="1" w:after="100" w:afterAutospacing="1" w:line="240" w:lineRule="auto"/>
        <w:outlineLvl w:val="0"/>
        <w:rPr>
          <w:rFonts w:ascii="Times New Roman" w:eastAsia="Times New Roman" w:hAnsi="Times New Roman" w:cs="Times New Roman"/>
          <w:b/>
          <w:bCs/>
          <w:kern w:val="36"/>
          <w:sz w:val="24"/>
          <w:szCs w:val="24"/>
          <w:lang w:val="en-US" w:eastAsia="fr-FR"/>
        </w:rPr>
      </w:pPr>
      <w:r w:rsidRPr="00FD364F">
        <w:rPr>
          <w:rFonts w:ascii="Times New Roman" w:eastAsia="Times New Roman" w:hAnsi="Times New Roman" w:cs="Times New Roman"/>
          <w:b/>
          <w:bCs/>
          <w:kern w:val="36"/>
          <w:sz w:val="24"/>
          <w:szCs w:val="24"/>
          <w:lang w:val="en-US" w:eastAsia="fr-FR"/>
        </w:rPr>
        <w:t xml:space="preserve">Pharmacokinetic (PK) drug interaction studies of </w:t>
      </w:r>
      <w:proofErr w:type="spellStart"/>
      <w:r w:rsidRPr="00FD364F">
        <w:rPr>
          <w:rFonts w:ascii="Times New Roman" w:eastAsia="Times New Roman" w:hAnsi="Times New Roman" w:cs="Times New Roman"/>
          <w:b/>
          <w:bCs/>
          <w:kern w:val="36"/>
          <w:sz w:val="24"/>
          <w:szCs w:val="24"/>
          <w:lang w:val="en-US" w:eastAsia="fr-FR"/>
        </w:rPr>
        <w:t>cabozantinib</w:t>
      </w:r>
      <w:proofErr w:type="spellEnd"/>
      <w:r w:rsidRPr="00FD364F">
        <w:rPr>
          <w:rFonts w:ascii="Times New Roman" w:eastAsia="Times New Roman" w:hAnsi="Times New Roman" w:cs="Times New Roman"/>
          <w:b/>
          <w:bCs/>
          <w:kern w:val="36"/>
          <w:sz w:val="24"/>
          <w:szCs w:val="24"/>
          <w:lang w:val="en-US" w:eastAsia="fr-FR"/>
        </w:rPr>
        <w:t xml:space="preserve">: Effect of CYP3A inducer rifampin and inhibitor ketoconazole on </w:t>
      </w:r>
      <w:proofErr w:type="spellStart"/>
      <w:r w:rsidRPr="00FD364F">
        <w:rPr>
          <w:rFonts w:ascii="Times New Roman" w:eastAsia="Times New Roman" w:hAnsi="Times New Roman" w:cs="Times New Roman"/>
          <w:b/>
          <w:bCs/>
          <w:kern w:val="36"/>
          <w:sz w:val="24"/>
          <w:szCs w:val="24"/>
          <w:lang w:val="en-US" w:eastAsia="fr-FR"/>
        </w:rPr>
        <w:t>cabozantinib</w:t>
      </w:r>
      <w:proofErr w:type="spellEnd"/>
      <w:r w:rsidRPr="00FD364F">
        <w:rPr>
          <w:rFonts w:ascii="Times New Roman" w:eastAsia="Times New Roman" w:hAnsi="Times New Roman" w:cs="Times New Roman"/>
          <w:b/>
          <w:bCs/>
          <w:kern w:val="36"/>
          <w:sz w:val="24"/>
          <w:szCs w:val="24"/>
          <w:lang w:val="en-US" w:eastAsia="fr-FR"/>
        </w:rPr>
        <w:t xml:space="preserve"> plasma PK and effect of </w:t>
      </w:r>
      <w:proofErr w:type="spellStart"/>
      <w:r w:rsidRPr="00FD364F">
        <w:rPr>
          <w:rFonts w:ascii="Times New Roman" w:eastAsia="Times New Roman" w:hAnsi="Times New Roman" w:cs="Times New Roman"/>
          <w:b/>
          <w:bCs/>
          <w:kern w:val="36"/>
          <w:sz w:val="24"/>
          <w:szCs w:val="24"/>
          <w:lang w:val="en-US" w:eastAsia="fr-FR"/>
        </w:rPr>
        <w:t>cabozantinib</w:t>
      </w:r>
      <w:proofErr w:type="spellEnd"/>
      <w:r w:rsidRPr="00FD364F">
        <w:rPr>
          <w:rFonts w:ascii="Times New Roman" w:eastAsia="Times New Roman" w:hAnsi="Times New Roman" w:cs="Times New Roman"/>
          <w:b/>
          <w:bCs/>
          <w:kern w:val="36"/>
          <w:sz w:val="24"/>
          <w:szCs w:val="24"/>
          <w:lang w:val="en-US" w:eastAsia="fr-FR"/>
        </w:rPr>
        <w:t xml:space="preserve"> on CYP2C8 probe substrate rosiglitazone plasma PK.</w:t>
      </w:r>
    </w:p>
    <w:p w:rsidR="00FD364F" w:rsidRPr="00464D77" w:rsidRDefault="004228F8" w:rsidP="00464D77">
      <w:pPr>
        <w:spacing w:before="100" w:beforeAutospacing="1" w:after="100" w:afterAutospacing="1" w:line="240" w:lineRule="auto"/>
        <w:outlineLvl w:val="0"/>
        <w:rPr>
          <w:rFonts w:ascii="Times New Roman" w:eastAsia="Times New Roman" w:hAnsi="Times New Roman" w:cs="Times New Roman"/>
          <w:b/>
          <w:bCs/>
          <w:kern w:val="36"/>
          <w:sz w:val="24"/>
          <w:szCs w:val="24"/>
          <w:lang w:val="en-US" w:eastAsia="fr-FR"/>
        </w:rPr>
      </w:pPr>
      <w:hyperlink r:id="rId8" w:history="1">
        <w:r w:rsidR="00FD364F" w:rsidRPr="00FD364F">
          <w:rPr>
            <w:rFonts w:ascii="Times New Roman" w:eastAsia="Times New Roman" w:hAnsi="Times New Roman" w:cs="Times New Roman"/>
            <w:color w:val="0000FF"/>
            <w:sz w:val="24"/>
            <w:szCs w:val="24"/>
            <w:u w:val="single"/>
            <w:lang w:val="en-US" w:eastAsia="fr-FR"/>
          </w:rPr>
          <w:t>Nguyen L</w:t>
        </w:r>
      </w:hyperlink>
      <w:r w:rsidR="00FD364F" w:rsidRPr="00FD364F">
        <w:rPr>
          <w:rFonts w:ascii="Times New Roman" w:eastAsia="Times New Roman" w:hAnsi="Times New Roman" w:cs="Times New Roman"/>
          <w:sz w:val="24"/>
          <w:szCs w:val="24"/>
          <w:vertAlign w:val="superscript"/>
          <w:lang w:val="en-US" w:eastAsia="fr-FR"/>
        </w:rPr>
        <w:t>1</w:t>
      </w:r>
      <w:r w:rsidR="00FD364F" w:rsidRPr="00FD364F">
        <w:rPr>
          <w:rFonts w:ascii="Times New Roman" w:eastAsia="Times New Roman" w:hAnsi="Times New Roman" w:cs="Times New Roman"/>
          <w:sz w:val="24"/>
          <w:szCs w:val="24"/>
          <w:lang w:val="en-US" w:eastAsia="fr-FR"/>
        </w:rPr>
        <w:t xml:space="preserve">, </w:t>
      </w:r>
      <w:hyperlink r:id="rId9" w:history="1">
        <w:r w:rsidR="00FD364F" w:rsidRPr="00FD364F">
          <w:rPr>
            <w:rFonts w:ascii="Times New Roman" w:eastAsia="Times New Roman" w:hAnsi="Times New Roman" w:cs="Times New Roman"/>
            <w:color w:val="0000FF"/>
            <w:sz w:val="24"/>
            <w:szCs w:val="24"/>
            <w:u w:val="single"/>
            <w:lang w:val="en-US" w:eastAsia="fr-FR"/>
          </w:rPr>
          <w:t>Holland J</w:t>
        </w:r>
      </w:hyperlink>
      <w:r w:rsidR="00FD364F" w:rsidRPr="00FD364F">
        <w:rPr>
          <w:rFonts w:ascii="Times New Roman" w:eastAsia="Times New Roman" w:hAnsi="Times New Roman" w:cs="Times New Roman"/>
          <w:sz w:val="24"/>
          <w:szCs w:val="24"/>
          <w:vertAlign w:val="superscript"/>
          <w:lang w:val="en-US" w:eastAsia="fr-FR"/>
        </w:rPr>
        <w:t>1</w:t>
      </w:r>
      <w:r w:rsidR="00FD364F" w:rsidRPr="00FD364F">
        <w:rPr>
          <w:rFonts w:ascii="Times New Roman" w:eastAsia="Times New Roman" w:hAnsi="Times New Roman" w:cs="Times New Roman"/>
          <w:sz w:val="24"/>
          <w:szCs w:val="24"/>
          <w:lang w:val="en-US" w:eastAsia="fr-FR"/>
        </w:rPr>
        <w:t xml:space="preserve">, </w:t>
      </w:r>
      <w:hyperlink r:id="rId10" w:history="1">
        <w:r w:rsidR="00FD364F" w:rsidRPr="00FD364F">
          <w:rPr>
            <w:rFonts w:ascii="Times New Roman" w:eastAsia="Times New Roman" w:hAnsi="Times New Roman" w:cs="Times New Roman"/>
            <w:color w:val="0000FF"/>
            <w:sz w:val="24"/>
            <w:szCs w:val="24"/>
            <w:u w:val="single"/>
            <w:lang w:val="en-US" w:eastAsia="fr-FR"/>
          </w:rPr>
          <w:t>Miles D</w:t>
        </w:r>
      </w:hyperlink>
      <w:r w:rsidR="00FD364F" w:rsidRPr="00FD364F">
        <w:rPr>
          <w:rFonts w:ascii="Times New Roman" w:eastAsia="Times New Roman" w:hAnsi="Times New Roman" w:cs="Times New Roman"/>
          <w:sz w:val="24"/>
          <w:szCs w:val="24"/>
          <w:vertAlign w:val="superscript"/>
          <w:lang w:val="en-US" w:eastAsia="fr-FR"/>
        </w:rPr>
        <w:t>1</w:t>
      </w:r>
      <w:r w:rsidR="00FD364F" w:rsidRPr="00FD364F">
        <w:rPr>
          <w:rFonts w:ascii="Times New Roman" w:eastAsia="Times New Roman" w:hAnsi="Times New Roman" w:cs="Times New Roman"/>
          <w:sz w:val="24"/>
          <w:szCs w:val="24"/>
          <w:lang w:val="en-US" w:eastAsia="fr-FR"/>
        </w:rPr>
        <w:t xml:space="preserve">, </w:t>
      </w:r>
      <w:hyperlink r:id="rId11" w:history="1">
        <w:r w:rsidR="00FD364F" w:rsidRPr="00FD364F">
          <w:rPr>
            <w:rFonts w:ascii="Times New Roman" w:eastAsia="Times New Roman" w:hAnsi="Times New Roman" w:cs="Times New Roman"/>
            <w:color w:val="0000FF"/>
            <w:sz w:val="24"/>
            <w:szCs w:val="24"/>
            <w:u w:val="single"/>
            <w:lang w:val="en-US" w:eastAsia="fr-FR"/>
          </w:rPr>
          <w:t>Engel C</w:t>
        </w:r>
      </w:hyperlink>
      <w:r w:rsidR="00FD364F" w:rsidRPr="00FD364F">
        <w:rPr>
          <w:rFonts w:ascii="Times New Roman" w:eastAsia="Times New Roman" w:hAnsi="Times New Roman" w:cs="Times New Roman"/>
          <w:sz w:val="24"/>
          <w:szCs w:val="24"/>
          <w:vertAlign w:val="superscript"/>
          <w:lang w:val="en-US" w:eastAsia="fr-FR"/>
        </w:rPr>
        <w:t>2</w:t>
      </w:r>
      <w:r w:rsidR="00FD364F" w:rsidRPr="00FD364F">
        <w:rPr>
          <w:rFonts w:ascii="Times New Roman" w:eastAsia="Times New Roman" w:hAnsi="Times New Roman" w:cs="Times New Roman"/>
          <w:sz w:val="24"/>
          <w:szCs w:val="24"/>
          <w:lang w:val="en-US" w:eastAsia="fr-FR"/>
        </w:rPr>
        <w:t xml:space="preserve">, </w:t>
      </w:r>
      <w:hyperlink r:id="rId12" w:history="1">
        <w:proofErr w:type="spellStart"/>
        <w:r w:rsidR="00FD364F" w:rsidRPr="00FD364F">
          <w:rPr>
            <w:rFonts w:ascii="Times New Roman" w:eastAsia="Times New Roman" w:hAnsi="Times New Roman" w:cs="Times New Roman"/>
            <w:color w:val="0000FF"/>
            <w:sz w:val="24"/>
            <w:szCs w:val="24"/>
            <w:u w:val="single"/>
            <w:lang w:val="en-US" w:eastAsia="fr-FR"/>
          </w:rPr>
          <w:t>Benrimoh</w:t>
        </w:r>
        <w:proofErr w:type="spellEnd"/>
        <w:r w:rsidR="00FD364F" w:rsidRPr="00FD364F">
          <w:rPr>
            <w:rFonts w:ascii="Times New Roman" w:eastAsia="Times New Roman" w:hAnsi="Times New Roman" w:cs="Times New Roman"/>
            <w:color w:val="0000FF"/>
            <w:sz w:val="24"/>
            <w:szCs w:val="24"/>
            <w:u w:val="single"/>
            <w:lang w:val="en-US" w:eastAsia="fr-FR"/>
          </w:rPr>
          <w:t xml:space="preserve"> N</w:t>
        </w:r>
      </w:hyperlink>
      <w:r w:rsidR="00FD364F" w:rsidRPr="00FD364F">
        <w:rPr>
          <w:rFonts w:ascii="Times New Roman" w:eastAsia="Times New Roman" w:hAnsi="Times New Roman" w:cs="Times New Roman"/>
          <w:sz w:val="24"/>
          <w:szCs w:val="24"/>
          <w:vertAlign w:val="superscript"/>
          <w:lang w:val="en-US" w:eastAsia="fr-FR"/>
        </w:rPr>
        <w:t>2</w:t>
      </w:r>
      <w:r w:rsidR="00FD364F" w:rsidRPr="00FD364F">
        <w:rPr>
          <w:rFonts w:ascii="Times New Roman" w:eastAsia="Times New Roman" w:hAnsi="Times New Roman" w:cs="Times New Roman"/>
          <w:sz w:val="24"/>
          <w:szCs w:val="24"/>
          <w:lang w:val="en-US" w:eastAsia="fr-FR"/>
        </w:rPr>
        <w:t xml:space="preserve">, </w:t>
      </w:r>
      <w:hyperlink r:id="rId13" w:history="1">
        <w:r w:rsidR="00FD364F" w:rsidRPr="00FD364F">
          <w:rPr>
            <w:rFonts w:ascii="Times New Roman" w:eastAsia="Times New Roman" w:hAnsi="Times New Roman" w:cs="Times New Roman"/>
            <w:color w:val="0000FF"/>
            <w:sz w:val="24"/>
            <w:szCs w:val="24"/>
            <w:u w:val="single"/>
            <w:lang w:val="en-US" w:eastAsia="fr-FR"/>
          </w:rPr>
          <w:t>O'Reilly T</w:t>
        </w:r>
      </w:hyperlink>
      <w:r w:rsidR="00FD364F" w:rsidRPr="00FD364F">
        <w:rPr>
          <w:rFonts w:ascii="Times New Roman" w:eastAsia="Times New Roman" w:hAnsi="Times New Roman" w:cs="Times New Roman"/>
          <w:sz w:val="24"/>
          <w:szCs w:val="24"/>
          <w:vertAlign w:val="superscript"/>
          <w:lang w:val="en-US" w:eastAsia="fr-FR"/>
        </w:rPr>
        <w:t>3</w:t>
      </w:r>
      <w:r w:rsidR="00FD364F" w:rsidRPr="00FD364F">
        <w:rPr>
          <w:rFonts w:ascii="Times New Roman" w:eastAsia="Times New Roman" w:hAnsi="Times New Roman" w:cs="Times New Roman"/>
          <w:sz w:val="24"/>
          <w:szCs w:val="24"/>
          <w:lang w:val="en-US" w:eastAsia="fr-FR"/>
        </w:rPr>
        <w:t xml:space="preserve">, </w:t>
      </w:r>
      <w:hyperlink r:id="rId14" w:history="1">
        <w:r w:rsidR="00FD364F" w:rsidRPr="00FD364F">
          <w:rPr>
            <w:rFonts w:ascii="Times New Roman" w:eastAsia="Times New Roman" w:hAnsi="Times New Roman" w:cs="Times New Roman"/>
            <w:color w:val="0000FF"/>
            <w:sz w:val="24"/>
            <w:szCs w:val="24"/>
            <w:u w:val="single"/>
            <w:lang w:val="en-US" w:eastAsia="fr-FR"/>
          </w:rPr>
          <w:t>Lacy S</w:t>
        </w:r>
      </w:hyperlink>
      <w:r w:rsidR="00FD364F" w:rsidRPr="00FD364F">
        <w:rPr>
          <w:rFonts w:ascii="Times New Roman" w:eastAsia="Times New Roman" w:hAnsi="Times New Roman" w:cs="Times New Roman"/>
          <w:sz w:val="24"/>
          <w:szCs w:val="24"/>
          <w:vertAlign w:val="superscript"/>
          <w:lang w:val="en-US" w:eastAsia="fr-FR"/>
        </w:rPr>
        <w:t>1</w:t>
      </w:r>
      <w:r w:rsidR="00FD364F" w:rsidRPr="00FD364F">
        <w:rPr>
          <w:rFonts w:ascii="Times New Roman" w:eastAsia="Times New Roman" w:hAnsi="Times New Roman" w:cs="Times New Roman"/>
          <w:sz w:val="24"/>
          <w:szCs w:val="24"/>
          <w:lang w:val="en-US" w:eastAsia="fr-FR"/>
        </w:rPr>
        <w:t>.</w:t>
      </w:r>
    </w:p>
    <w:p w:rsidR="00FD364F" w:rsidRPr="00FD364F" w:rsidRDefault="00FD364F" w:rsidP="00FD364F">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FD364F">
        <w:rPr>
          <w:rFonts w:ascii="Times New Roman" w:eastAsia="Times New Roman" w:hAnsi="Times New Roman" w:cs="Times New Roman"/>
          <w:b/>
          <w:bCs/>
          <w:sz w:val="27"/>
          <w:szCs w:val="27"/>
          <w:lang w:val="en-US" w:eastAsia="fr-FR"/>
        </w:rPr>
        <w:t>Abstract</w:t>
      </w:r>
    </w:p>
    <w:p w:rsidR="00FD364F" w:rsidRPr="00464D77" w:rsidRDefault="00FD364F" w:rsidP="00FD364F">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464D77">
        <w:rPr>
          <w:rFonts w:ascii="Times New Roman" w:eastAsia="Times New Roman" w:hAnsi="Times New Roman" w:cs="Times New Roman"/>
          <w:sz w:val="24"/>
          <w:szCs w:val="24"/>
          <w:lang w:val="en-US" w:eastAsia="fr-FR"/>
        </w:rPr>
        <w:t>Cabozantinib</w:t>
      </w:r>
      <w:proofErr w:type="spellEnd"/>
      <w:r w:rsidRPr="00464D77">
        <w:rPr>
          <w:rFonts w:ascii="Times New Roman" w:eastAsia="Times New Roman" w:hAnsi="Times New Roman" w:cs="Times New Roman"/>
          <w:sz w:val="24"/>
          <w:szCs w:val="24"/>
          <w:lang w:val="en-US" w:eastAsia="fr-FR"/>
        </w:rPr>
        <w:t xml:space="preserve"> is a small-molecule tyrosine kinase inhibitor that has been approved for the treatment of patients with progressive, metastatic medullary thyroid cancer. In vitro data indicate that (1) cytochrome P450 (CYP) 3A4 is the primary CYP </w:t>
      </w:r>
      <w:proofErr w:type="spellStart"/>
      <w:r w:rsidRPr="00464D77">
        <w:rPr>
          <w:rFonts w:ascii="Times New Roman" w:eastAsia="Times New Roman" w:hAnsi="Times New Roman" w:cs="Times New Roman"/>
          <w:sz w:val="24"/>
          <w:szCs w:val="24"/>
          <w:lang w:val="en-US" w:eastAsia="fr-FR"/>
        </w:rPr>
        <w:t>isoenzyme</w:t>
      </w:r>
      <w:proofErr w:type="spellEnd"/>
      <w:r w:rsidRPr="00464D77">
        <w:rPr>
          <w:rFonts w:ascii="Times New Roman" w:eastAsia="Times New Roman" w:hAnsi="Times New Roman" w:cs="Times New Roman"/>
          <w:sz w:val="24"/>
          <w:szCs w:val="24"/>
          <w:lang w:val="en-US" w:eastAsia="fr-FR"/>
        </w:rPr>
        <w:t xml:space="preserve"> involved in the metabolism of </w:t>
      </w:r>
      <w:proofErr w:type="spellStart"/>
      <w:r w:rsidRPr="00464D77">
        <w:rPr>
          <w:rFonts w:ascii="Times New Roman" w:eastAsia="Times New Roman" w:hAnsi="Times New Roman" w:cs="Times New Roman"/>
          <w:sz w:val="24"/>
          <w:szCs w:val="24"/>
          <w:lang w:val="en-US" w:eastAsia="fr-FR"/>
        </w:rPr>
        <w:t>cabozantinib</w:t>
      </w:r>
      <w:proofErr w:type="spellEnd"/>
      <w:r w:rsidRPr="00464D77">
        <w:rPr>
          <w:rFonts w:ascii="Times New Roman" w:eastAsia="Times New Roman" w:hAnsi="Times New Roman" w:cs="Times New Roman"/>
          <w:sz w:val="24"/>
          <w:szCs w:val="24"/>
          <w:lang w:val="en-US" w:eastAsia="fr-FR"/>
        </w:rPr>
        <w:t xml:space="preserve">, and (2) CYP2C8 is the CYP </w:t>
      </w:r>
      <w:proofErr w:type="spellStart"/>
      <w:r w:rsidRPr="00464D77">
        <w:rPr>
          <w:rFonts w:ascii="Times New Roman" w:eastAsia="Times New Roman" w:hAnsi="Times New Roman" w:cs="Times New Roman"/>
          <w:sz w:val="24"/>
          <w:szCs w:val="24"/>
          <w:lang w:val="en-US" w:eastAsia="fr-FR"/>
        </w:rPr>
        <w:t>isoenzyme</w:t>
      </w:r>
      <w:proofErr w:type="spellEnd"/>
      <w:r w:rsidRPr="00464D77">
        <w:rPr>
          <w:rFonts w:ascii="Times New Roman" w:eastAsia="Times New Roman" w:hAnsi="Times New Roman" w:cs="Times New Roman"/>
          <w:sz w:val="24"/>
          <w:szCs w:val="24"/>
          <w:lang w:val="en-US" w:eastAsia="fr-FR"/>
        </w:rPr>
        <w:t xml:space="preserve"> most potently inhibited by </w:t>
      </w:r>
      <w:proofErr w:type="spellStart"/>
      <w:r w:rsidRPr="00464D77">
        <w:rPr>
          <w:rFonts w:ascii="Times New Roman" w:eastAsia="Times New Roman" w:hAnsi="Times New Roman" w:cs="Times New Roman"/>
          <w:sz w:val="24"/>
          <w:szCs w:val="24"/>
          <w:lang w:val="en-US" w:eastAsia="fr-FR"/>
        </w:rPr>
        <w:t>cabozantinib</w:t>
      </w:r>
      <w:proofErr w:type="spellEnd"/>
      <w:r w:rsidRPr="00464D77">
        <w:rPr>
          <w:rFonts w:ascii="Times New Roman" w:eastAsia="Times New Roman" w:hAnsi="Times New Roman" w:cs="Times New Roman"/>
          <w:sz w:val="24"/>
          <w:szCs w:val="24"/>
          <w:lang w:val="en-US" w:eastAsia="fr-FR"/>
        </w:rPr>
        <w:t xml:space="preserve"> with potential for in vivo inhibition at clinically relevant plasma exposures. Pharmacokinetic (PK) drug-drug interactions (DDIs) were evaluated clinically between </w:t>
      </w:r>
      <w:proofErr w:type="spellStart"/>
      <w:r w:rsidRPr="00464D77">
        <w:rPr>
          <w:rFonts w:ascii="Times New Roman" w:eastAsia="Times New Roman" w:hAnsi="Times New Roman" w:cs="Times New Roman"/>
          <w:sz w:val="24"/>
          <w:szCs w:val="24"/>
          <w:lang w:val="en-US" w:eastAsia="fr-FR"/>
        </w:rPr>
        <w:t>cabozantinib</w:t>
      </w:r>
      <w:proofErr w:type="spellEnd"/>
      <w:r w:rsidRPr="00464D77">
        <w:rPr>
          <w:rFonts w:ascii="Times New Roman" w:eastAsia="Times New Roman" w:hAnsi="Times New Roman" w:cs="Times New Roman"/>
          <w:sz w:val="24"/>
          <w:szCs w:val="24"/>
          <w:lang w:val="en-US" w:eastAsia="fr-FR"/>
        </w:rPr>
        <w:t xml:space="preserve"> and (1) a CYP3A inducer (</w:t>
      </w:r>
      <w:r w:rsidR="00464D77" w:rsidRPr="00464D77">
        <w:rPr>
          <w:rFonts w:ascii="Times New Roman" w:eastAsia="Times New Roman" w:hAnsi="Times New Roman" w:cs="Times New Roman"/>
          <w:sz w:val="24"/>
          <w:szCs w:val="24"/>
          <w:lang w:val="en-US" w:eastAsia="fr-FR"/>
        </w:rPr>
        <w:t xml:space="preserve">rifampin) in healthy volunteers. … </w:t>
      </w:r>
      <w:r w:rsidRPr="00464D77">
        <w:rPr>
          <w:rFonts w:ascii="Times New Roman" w:eastAsia="Times New Roman" w:hAnsi="Times New Roman" w:cs="Times New Roman"/>
          <w:sz w:val="24"/>
          <w:szCs w:val="24"/>
          <w:lang w:val="en-US" w:eastAsia="fr-FR"/>
        </w:rPr>
        <w:t xml:space="preserve">Compared with </w:t>
      </w:r>
      <w:proofErr w:type="spellStart"/>
      <w:r w:rsidRPr="00464D77">
        <w:rPr>
          <w:rFonts w:ascii="Times New Roman" w:eastAsia="Times New Roman" w:hAnsi="Times New Roman" w:cs="Times New Roman"/>
          <w:sz w:val="24"/>
          <w:szCs w:val="24"/>
          <w:lang w:val="en-US" w:eastAsia="fr-FR"/>
        </w:rPr>
        <w:t>cabozantinib</w:t>
      </w:r>
      <w:proofErr w:type="spellEnd"/>
      <w:r w:rsidRPr="00464D77">
        <w:rPr>
          <w:rFonts w:ascii="Times New Roman" w:eastAsia="Times New Roman" w:hAnsi="Times New Roman" w:cs="Times New Roman"/>
          <w:sz w:val="24"/>
          <w:szCs w:val="24"/>
          <w:lang w:val="en-US" w:eastAsia="fr-FR"/>
        </w:rPr>
        <w:t xml:space="preserve"> given alone, </w:t>
      </w:r>
      <w:proofErr w:type="spellStart"/>
      <w:r w:rsidRPr="00464D77">
        <w:rPr>
          <w:rFonts w:ascii="Times New Roman" w:eastAsia="Times New Roman" w:hAnsi="Times New Roman" w:cs="Times New Roman"/>
          <w:sz w:val="24"/>
          <w:szCs w:val="24"/>
          <w:lang w:val="en-US" w:eastAsia="fr-FR"/>
        </w:rPr>
        <w:t>coadministration</w:t>
      </w:r>
      <w:proofErr w:type="spellEnd"/>
      <w:r w:rsidRPr="00464D77">
        <w:rPr>
          <w:rFonts w:ascii="Times New Roman" w:eastAsia="Times New Roman" w:hAnsi="Times New Roman" w:cs="Times New Roman"/>
          <w:sz w:val="24"/>
          <w:szCs w:val="24"/>
          <w:lang w:val="en-US" w:eastAsia="fr-FR"/>
        </w:rPr>
        <w:t xml:space="preserve"> with rifampin resulted in a 4.3-fold higher plasma clearance (CL/F) of </w:t>
      </w:r>
      <w:proofErr w:type="spellStart"/>
      <w:r w:rsidRPr="00464D77">
        <w:rPr>
          <w:rFonts w:ascii="Times New Roman" w:eastAsia="Times New Roman" w:hAnsi="Times New Roman" w:cs="Times New Roman"/>
          <w:sz w:val="24"/>
          <w:szCs w:val="24"/>
          <w:lang w:val="en-US" w:eastAsia="fr-FR"/>
        </w:rPr>
        <w:t>cabozantinib</w:t>
      </w:r>
      <w:proofErr w:type="spellEnd"/>
      <w:r w:rsidRPr="00464D77">
        <w:rPr>
          <w:rFonts w:ascii="Times New Roman" w:eastAsia="Times New Roman" w:hAnsi="Times New Roman" w:cs="Times New Roman"/>
          <w:sz w:val="24"/>
          <w:szCs w:val="24"/>
          <w:lang w:val="en-US" w:eastAsia="fr-FR"/>
        </w:rPr>
        <w:t xml:space="preserve"> and a 77% decrease in </w:t>
      </w:r>
      <w:proofErr w:type="spellStart"/>
      <w:r w:rsidRPr="00464D77">
        <w:rPr>
          <w:rFonts w:ascii="Times New Roman" w:eastAsia="Times New Roman" w:hAnsi="Times New Roman" w:cs="Times New Roman"/>
          <w:sz w:val="24"/>
          <w:szCs w:val="24"/>
          <w:lang w:val="en-US" w:eastAsia="fr-FR"/>
        </w:rPr>
        <w:t>cabozantinib</w:t>
      </w:r>
      <w:proofErr w:type="spellEnd"/>
      <w:r w:rsidRPr="00464D77">
        <w:rPr>
          <w:rFonts w:ascii="Times New Roman" w:eastAsia="Times New Roman" w:hAnsi="Times New Roman" w:cs="Times New Roman"/>
          <w:sz w:val="24"/>
          <w:szCs w:val="24"/>
          <w:lang w:val="en-US" w:eastAsia="fr-FR"/>
        </w:rPr>
        <w:t xml:space="preserve"> plasma AUC0-</w:t>
      </w:r>
      <w:proofErr w:type="gramStart"/>
      <w:r w:rsidRPr="00464D77">
        <w:rPr>
          <w:rFonts w:ascii="Times New Roman" w:eastAsia="Times New Roman" w:hAnsi="Times New Roman" w:cs="Times New Roman"/>
          <w:sz w:val="24"/>
          <w:szCs w:val="24"/>
          <w:lang w:val="en-US" w:eastAsia="fr-FR"/>
        </w:rPr>
        <w:t>inf ,</w:t>
      </w:r>
      <w:proofErr w:type="gramEnd"/>
      <w:r w:rsidR="00464D77" w:rsidRPr="00464D77">
        <w:rPr>
          <w:rFonts w:ascii="Times New Roman" w:eastAsia="Times New Roman" w:hAnsi="Times New Roman" w:cs="Times New Roman"/>
          <w:sz w:val="24"/>
          <w:szCs w:val="24"/>
          <w:lang w:val="en-US" w:eastAsia="fr-FR"/>
        </w:rPr>
        <w:t xml:space="preserve">. … </w:t>
      </w:r>
      <w:r w:rsidRPr="00464D77">
        <w:rPr>
          <w:rFonts w:ascii="Times New Roman" w:eastAsia="Times New Roman" w:hAnsi="Times New Roman" w:cs="Times New Roman"/>
          <w:sz w:val="24"/>
          <w:szCs w:val="24"/>
          <w:lang w:val="en-US" w:eastAsia="fr-FR"/>
        </w:rPr>
        <w:t xml:space="preserve">In summary, chronic use of strong CYP3A inducers should be avoided when </w:t>
      </w:r>
      <w:proofErr w:type="spellStart"/>
      <w:r w:rsidRPr="00464D77">
        <w:rPr>
          <w:rFonts w:ascii="Times New Roman" w:eastAsia="Times New Roman" w:hAnsi="Times New Roman" w:cs="Times New Roman"/>
          <w:sz w:val="24"/>
          <w:szCs w:val="24"/>
          <w:lang w:val="en-US" w:eastAsia="fr-FR"/>
        </w:rPr>
        <w:t>cabozantinib</w:t>
      </w:r>
      <w:proofErr w:type="spellEnd"/>
      <w:r w:rsidRPr="00464D77">
        <w:rPr>
          <w:rFonts w:ascii="Times New Roman" w:eastAsia="Times New Roman" w:hAnsi="Times New Roman" w:cs="Times New Roman"/>
          <w:sz w:val="24"/>
          <w:szCs w:val="24"/>
          <w:lang w:val="en-US" w:eastAsia="fr-FR"/>
        </w:rPr>
        <w:t xml:space="preserve"> is administered, and </w:t>
      </w:r>
      <w:proofErr w:type="spellStart"/>
      <w:r w:rsidRPr="00464D77">
        <w:rPr>
          <w:rFonts w:ascii="Times New Roman" w:eastAsia="Times New Roman" w:hAnsi="Times New Roman" w:cs="Times New Roman"/>
          <w:sz w:val="24"/>
          <w:szCs w:val="24"/>
          <w:lang w:val="en-US" w:eastAsia="fr-FR"/>
        </w:rPr>
        <w:t>cabozantinib</w:t>
      </w:r>
      <w:proofErr w:type="spellEnd"/>
      <w:r w:rsidRPr="00464D77">
        <w:rPr>
          <w:rFonts w:ascii="Times New Roman" w:eastAsia="Times New Roman" w:hAnsi="Times New Roman" w:cs="Times New Roman"/>
          <w:sz w:val="24"/>
          <w:szCs w:val="24"/>
          <w:lang w:val="en-US" w:eastAsia="fr-FR"/>
        </w:rPr>
        <w:t xml:space="preserve"> at clinically relevant exposures is not anticipated to markedly affect the PK of concomitant medications via CYP enzyme inhibition.</w:t>
      </w:r>
    </w:p>
    <w:p w:rsidR="000E460D" w:rsidRDefault="000E460D" w:rsidP="00464D77">
      <w:pPr>
        <w:widowControl w:val="0"/>
        <w:spacing w:before="100" w:beforeAutospacing="1" w:after="100" w:afterAutospacing="1" w:line="240" w:lineRule="auto"/>
        <w:ind w:right="50"/>
        <w:jc w:val="both"/>
        <w:rPr>
          <w:rFonts w:ascii="Times New Roman" w:eastAsia="Times New Roman" w:hAnsi="Times New Roman" w:cs="Times New Roman"/>
          <w:sz w:val="24"/>
          <w:szCs w:val="24"/>
          <w:lang w:val="en-US" w:eastAsia="fr-FR"/>
        </w:rPr>
      </w:pPr>
      <w:proofErr w:type="gramStart"/>
      <w:r>
        <w:rPr>
          <w:rFonts w:ascii="Times New Roman" w:eastAsia="Times New Roman" w:hAnsi="Times New Roman" w:cs="Times New Roman"/>
          <w:sz w:val="24"/>
          <w:szCs w:val="24"/>
          <w:lang w:val="en-US" w:eastAsia="fr-FR"/>
        </w:rPr>
        <w:t>Introduction :</w:t>
      </w:r>
      <w:proofErr w:type="gramEnd"/>
    </w:p>
    <w:p w:rsidR="001170DD" w:rsidRDefault="00464D77" w:rsidP="00464D77">
      <w:pPr>
        <w:widowControl w:val="0"/>
        <w:spacing w:before="100" w:beforeAutospacing="1" w:after="100" w:afterAutospacing="1" w:line="240" w:lineRule="auto"/>
        <w:ind w:right="50"/>
        <w:jc w:val="both"/>
        <w:rPr>
          <w:rFonts w:ascii="Times New Roman" w:eastAsia="Times New Roman" w:hAnsi="Times New Roman" w:cs="Times New Roman"/>
          <w:sz w:val="24"/>
          <w:szCs w:val="24"/>
          <w:lang w:val="en-US" w:eastAsia="fr-FR"/>
        </w:rPr>
      </w:pPr>
      <w:proofErr w:type="spellStart"/>
      <w:r w:rsidRPr="00464D77">
        <w:rPr>
          <w:rFonts w:ascii="Times New Roman" w:eastAsia="Times New Roman" w:hAnsi="Times New Roman" w:cs="Times New Roman"/>
          <w:sz w:val="24"/>
          <w:szCs w:val="24"/>
          <w:lang w:val="en-US" w:eastAsia="fr-FR"/>
        </w:rPr>
        <w:t>Cabozantinib</w:t>
      </w:r>
      <w:proofErr w:type="spellEnd"/>
      <w:r w:rsidRPr="00464D77">
        <w:rPr>
          <w:rFonts w:ascii="Times New Roman" w:eastAsia="Times New Roman" w:hAnsi="Times New Roman" w:cs="Times New Roman"/>
          <w:sz w:val="24"/>
          <w:szCs w:val="24"/>
          <w:lang w:val="en-US" w:eastAsia="fr-FR"/>
        </w:rPr>
        <w:t xml:space="preserve"> (XL184) is an oral inhibitor of receptor</w:t>
      </w:r>
      <w:r w:rsidR="000E460D">
        <w:rPr>
          <w:rFonts w:ascii="Times New Roman" w:eastAsia="Times New Roman" w:hAnsi="Times New Roman" w:cs="Times New Roman"/>
          <w:sz w:val="24"/>
          <w:szCs w:val="24"/>
          <w:lang w:val="en-US" w:eastAsia="fr-FR"/>
        </w:rPr>
        <w:t xml:space="preserve"> </w:t>
      </w:r>
      <w:r w:rsidRPr="00464D77">
        <w:rPr>
          <w:rFonts w:ascii="Times New Roman" w:eastAsia="Times New Roman" w:hAnsi="Times New Roman" w:cs="Times New Roman"/>
          <w:sz w:val="24"/>
          <w:szCs w:val="24"/>
          <w:lang w:val="en-US" w:eastAsia="fr-FR"/>
        </w:rPr>
        <w:t>tyrosine kinases includi</w:t>
      </w:r>
      <w:r w:rsidR="000E460D">
        <w:rPr>
          <w:rFonts w:ascii="Times New Roman" w:eastAsia="Times New Roman" w:hAnsi="Times New Roman" w:cs="Times New Roman"/>
          <w:sz w:val="24"/>
          <w:szCs w:val="24"/>
          <w:lang w:val="en-US" w:eastAsia="fr-FR"/>
        </w:rPr>
        <w:t xml:space="preserve">ng the hepatocyte growth factor </w:t>
      </w:r>
      <w:r w:rsidRPr="00464D77">
        <w:rPr>
          <w:rFonts w:ascii="Times New Roman" w:eastAsia="Times New Roman" w:hAnsi="Times New Roman" w:cs="Times New Roman"/>
          <w:sz w:val="24"/>
          <w:szCs w:val="24"/>
          <w:lang w:val="en-US" w:eastAsia="fr-FR"/>
        </w:rPr>
        <w:t>receptor MET, vascular end</w:t>
      </w:r>
      <w:r w:rsidR="000E460D">
        <w:rPr>
          <w:rFonts w:ascii="Times New Roman" w:eastAsia="Times New Roman" w:hAnsi="Times New Roman" w:cs="Times New Roman"/>
          <w:sz w:val="24"/>
          <w:szCs w:val="24"/>
          <w:lang w:val="en-US" w:eastAsia="fr-FR"/>
        </w:rPr>
        <w:t xml:space="preserve">othelial growth factor receptor </w:t>
      </w:r>
      <w:r w:rsidRPr="00464D77">
        <w:rPr>
          <w:rFonts w:ascii="Times New Roman" w:eastAsia="Times New Roman" w:hAnsi="Times New Roman" w:cs="Times New Roman"/>
          <w:sz w:val="24"/>
          <w:szCs w:val="24"/>
          <w:lang w:val="en-US" w:eastAsia="fr-FR"/>
        </w:rPr>
        <w:t>2 (VEGFR2), and</w:t>
      </w:r>
      <w:r w:rsidR="000E460D">
        <w:rPr>
          <w:rFonts w:ascii="Times New Roman" w:eastAsia="Times New Roman" w:hAnsi="Times New Roman" w:cs="Times New Roman"/>
          <w:sz w:val="24"/>
          <w:szCs w:val="24"/>
          <w:lang w:val="en-US" w:eastAsia="fr-FR"/>
        </w:rPr>
        <w:t xml:space="preserve"> rearranged during transfection </w:t>
      </w:r>
      <w:r w:rsidRPr="00464D77">
        <w:rPr>
          <w:rFonts w:ascii="Times New Roman" w:eastAsia="Times New Roman" w:hAnsi="Times New Roman" w:cs="Times New Roman"/>
          <w:sz w:val="24"/>
          <w:szCs w:val="24"/>
          <w:lang w:val="en-US" w:eastAsia="fr-FR"/>
        </w:rPr>
        <w:t>(RET), which are impo</w:t>
      </w:r>
      <w:r w:rsidR="000E460D">
        <w:rPr>
          <w:rFonts w:ascii="Times New Roman" w:eastAsia="Times New Roman" w:hAnsi="Times New Roman" w:cs="Times New Roman"/>
          <w:sz w:val="24"/>
          <w:szCs w:val="24"/>
          <w:lang w:val="en-US" w:eastAsia="fr-FR"/>
        </w:rPr>
        <w:t xml:space="preserve">rtant mediators of tumor growth </w:t>
      </w:r>
      <w:r w:rsidRPr="00464D77">
        <w:rPr>
          <w:rFonts w:ascii="Times New Roman" w:eastAsia="Times New Roman" w:hAnsi="Times New Roman" w:cs="Times New Roman"/>
          <w:sz w:val="24"/>
          <w:szCs w:val="24"/>
          <w:lang w:val="en-US" w:eastAsia="fr-FR"/>
        </w:rPr>
        <w:t xml:space="preserve">and/or angiogenesis. </w:t>
      </w:r>
      <w:proofErr w:type="spellStart"/>
      <w:r w:rsidRPr="00464D77">
        <w:rPr>
          <w:rFonts w:ascii="Times New Roman" w:eastAsia="Times New Roman" w:hAnsi="Times New Roman" w:cs="Times New Roman"/>
          <w:sz w:val="24"/>
          <w:szCs w:val="24"/>
          <w:lang w:val="en-US" w:eastAsia="fr-FR"/>
        </w:rPr>
        <w:t>Ca</w:t>
      </w:r>
      <w:r w:rsidR="000E460D">
        <w:rPr>
          <w:rFonts w:ascii="Times New Roman" w:eastAsia="Times New Roman" w:hAnsi="Times New Roman" w:cs="Times New Roman"/>
          <w:sz w:val="24"/>
          <w:szCs w:val="24"/>
          <w:lang w:val="en-US" w:eastAsia="fr-FR"/>
        </w:rPr>
        <w:t>bozantinib</w:t>
      </w:r>
      <w:proofErr w:type="spellEnd"/>
      <w:r w:rsidR="000E460D">
        <w:rPr>
          <w:rFonts w:ascii="Times New Roman" w:eastAsia="Times New Roman" w:hAnsi="Times New Roman" w:cs="Times New Roman"/>
          <w:sz w:val="24"/>
          <w:szCs w:val="24"/>
          <w:lang w:val="en-US" w:eastAsia="fr-FR"/>
        </w:rPr>
        <w:t xml:space="preserve"> has been approved in </w:t>
      </w:r>
      <w:r w:rsidRPr="00464D77">
        <w:rPr>
          <w:rFonts w:ascii="Times New Roman" w:eastAsia="Times New Roman" w:hAnsi="Times New Roman" w:cs="Times New Roman"/>
          <w:sz w:val="24"/>
          <w:szCs w:val="24"/>
          <w:lang w:val="en-US" w:eastAsia="fr-FR"/>
        </w:rPr>
        <w:t>the United States and Euro</w:t>
      </w:r>
      <w:r w:rsidR="000E460D">
        <w:rPr>
          <w:rFonts w:ascii="Times New Roman" w:eastAsia="Times New Roman" w:hAnsi="Times New Roman" w:cs="Times New Roman"/>
          <w:sz w:val="24"/>
          <w:szCs w:val="24"/>
          <w:lang w:val="en-US" w:eastAsia="fr-FR"/>
        </w:rPr>
        <w:t xml:space="preserve">pean Union for the treatment of </w:t>
      </w:r>
      <w:r w:rsidRPr="00464D77">
        <w:rPr>
          <w:rFonts w:ascii="Times New Roman" w:eastAsia="Times New Roman" w:hAnsi="Times New Roman" w:cs="Times New Roman"/>
          <w:sz w:val="24"/>
          <w:szCs w:val="24"/>
          <w:lang w:val="en-US" w:eastAsia="fr-FR"/>
        </w:rPr>
        <w:t>patients with progressiv</w:t>
      </w:r>
      <w:r w:rsidR="000E460D">
        <w:rPr>
          <w:rFonts w:ascii="Times New Roman" w:eastAsia="Times New Roman" w:hAnsi="Times New Roman" w:cs="Times New Roman"/>
          <w:sz w:val="24"/>
          <w:szCs w:val="24"/>
          <w:lang w:val="en-US" w:eastAsia="fr-FR"/>
        </w:rPr>
        <w:t xml:space="preserve">e, metastatic medullary thyroid </w:t>
      </w:r>
      <w:r w:rsidRPr="00464D77">
        <w:rPr>
          <w:rFonts w:ascii="Times New Roman" w:eastAsia="Times New Roman" w:hAnsi="Times New Roman" w:cs="Times New Roman"/>
          <w:sz w:val="24"/>
          <w:szCs w:val="24"/>
          <w:lang w:val="en-US" w:eastAsia="fr-FR"/>
        </w:rPr>
        <w:t>cancer (MTC) and is currently bein</w:t>
      </w:r>
      <w:r w:rsidR="000E460D">
        <w:rPr>
          <w:rFonts w:ascii="Times New Roman" w:eastAsia="Times New Roman" w:hAnsi="Times New Roman" w:cs="Times New Roman"/>
          <w:sz w:val="24"/>
          <w:szCs w:val="24"/>
          <w:lang w:val="en-US" w:eastAsia="fr-FR"/>
        </w:rPr>
        <w:t xml:space="preserve">g evaluated in </w:t>
      </w:r>
      <w:proofErr w:type="spellStart"/>
      <w:r w:rsidR="000E460D">
        <w:rPr>
          <w:rFonts w:ascii="Times New Roman" w:eastAsia="Times New Roman" w:hAnsi="Times New Roman" w:cs="Times New Roman"/>
          <w:sz w:val="24"/>
          <w:szCs w:val="24"/>
          <w:lang w:val="en-US" w:eastAsia="fr-FR"/>
        </w:rPr>
        <w:t>latestage</w:t>
      </w:r>
      <w:proofErr w:type="spellEnd"/>
      <w:r w:rsidR="000E460D">
        <w:rPr>
          <w:rFonts w:ascii="Times New Roman" w:eastAsia="Times New Roman" w:hAnsi="Times New Roman" w:cs="Times New Roman"/>
          <w:sz w:val="24"/>
          <w:szCs w:val="24"/>
          <w:lang w:val="en-US" w:eastAsia="fr-FR"/>
        </w:rPr>
        <w:t xml:space="preserve"> </w:t>
      </w:r>
      <w:r w:rsidRPr="00464D77">
        <w:rPr>
          <w:rFonts w:ascii="Times New Roman" w:eastAsia="Times New Roman" w:hAnsi="Times New Roman" w:cs="Times New Roman"/>
          <w:sz w:val="24"/>
          <w:szCs w:val="24"/>
          <w:lang w:val="en-US" w:eastAsia="fr-FR"/>
        </w:rPr>
        <w:t xml:space="preserve">clinical trials for the </w:t>
      </w:r>
      <w:r w:rsidR="000E460D">
        <w:rPr>
          <w:rFonts w:ascii="Times New Roman" w:eastAsia="Times New Roman" w:hAnsi="Times New Roman" w:cs="Times New Roman"/>
          <w:sz w:val="24"/>
          <w:szCs w:val="24"/>
          <w:lang w:val="en-US" w:eastAsia="fr-FR"/>
        </w:rPr>
        <w:t xml:space="preserve">treatment of hepatocellular and kidney cancers. </w:t>
      </w:r>
      <w:r w:rsidRPr="00464D77">
        <w:rPr>
          <w:rFonts w:ascii="Times New Roman" w:eastAsia="Times New Roman" w:hAnsi="Times New Roman" w:cs="Times New Roman"/>
          <w:sz w:val="24"/>
          <w:szCs w:val="24"/>
          <w:lang w:val="en-US" w:eastAsia="fr-FR"/>
        </w:rPr>
        <w:t>Based on a populatio</w:t>
      </w:r>
      <w:r w:rsidR="000E460D">
        <w:rPr>
          <w:rFonts w:ascii="Times New Roman" w:eastAsia="Times New Roman" w:hAnsi="Times New Roman" w:cs="Times New Roman"/>
          <w:sz w:val="24"/>
          <w:szCs w:val="24"/>
          <w:lang w:val="en-US" w:eastAsia="fr-FR"/>
        </w:rPr>
        <w:t xml:space="preserve">n pharmacokinetic (PK) analysis </w:t>
      </w:r>
      <w:r w:rsidRPr="00464D77">
        <w:rPr>
          <w:rFonts w:ascii="Times New Roman" w:eastAsia="Times New Roman" w:hAnsi="Times New Roman" w:cs="Times New Roman"/>
          <w:sz w:val="24"/>
          <w:szCs w:val="24"/>
          <w:lang w:val="en-US" w:eastAsia="fr-FR"/>
        </w:rPr>
        <w:t xml:space="preserve">of </w:t>
      </w:r>
      <w:proofErr w:type="spellStart"/>
      <w:r w:rsidRPr="00464D77">
        <w:rPr>
          <w:rFonts w:ascii="Times New Roman" w:eastAsia="Times New Roman" w:hAnsi="Times New Roman" w:cs="Times New Roman"/>
          <w:sz w:val="24"/>
          <w:szCs w:val="24"/>
          <w:lang w:val="en-US" w:eastAsia="fr-FR"/>
        </w:rPr>
        <w:t>cabozantinib</w:t>
      </w:r>
      <w:proofErr w:type="spellEnd"/>
      <w:r w:rsidRPr="00464D77">
        <w:rPr>
          <w:rFonts w:ascii="Times New Roman" w:eastAsia="Times New Roman" w:hAnsi="Times New Roman" w:cs="Times New Roman"/>
          <w:sz w:val="24"/>
          <w:szCs w:val="24"/>
          <w:lang w:val="en-US" w:eastAsia="fr-FR"/>
        </w:rPr>
        <w:t xml:space="preserve"> i</w:t>
      </w:r>
      <w:r w:rsidR="000E460D">
        <w:rPr>
          <w:rFonts w:ascii="Times New Roman" w:eastAsia="Times New Roman" w:hAnsi="Times New Roman" w:cs="Times New Roman"/>
          <w:sz w:val="24"/>
          <w:szCs w:val="24"/>
          <w:lang w:val="en-US" w:eastAsia="fr-FR"/>
        </w:rPr>
        <w:t xml:space="preserve">n cancer subjects with MTC, the </w:t>
      </w:r>
      <w:r w:rsidRPr="00464D77">
        <w:rPr>
          <w:rFonts w:ascii="Times New Roman" w:eastAsia="Times New Roman" w:hAnsi="Times New Roman" w:cs="Times New Roman"/>
          <w:sz w:val="24"/>
          <w:szCs w:val="24"/>
          <w:lang w:val="en-US" w:eastAsia="fr-FR"/>
        </w:rPr>
        <w:t>predicted effective half-</w:t>
      </w:r>
      <w:r w:rsidR="000E460D">
        <w:rPr>
          <w:rFonts w:ascii="Times New Roman" w:eastAsia="Times New Roman" w:hAnsi="Times New Roman" w:cs="Times New Roman"/>
          <w:sz w:val="24"/>
          <w:szCs w:val="24"/>
          <w:lang w:val="en-US" w:eastAsia="fr-FR"/>
        </w:rPr>
        <w:t xml:space="preserve">life (t1/2) is approximately 55 </w:t>
      </w:r>
      <w:r w:rsidRPr="00464D77">
        <w:rPr>
          <w:rFonts w:ascii="Times New Roman" w:eastAsia="Times New Roman" w:hAnsi="Times New Roman" w:cs="Times New Roman"/>
          <w:sz w:val="24"/>
          <w:szCs w:val="24"/>
          <w:lang w:val="en-US" w:eastAsia="fr-FR"/>
        </w:rPr>
        <w:t xml:space="preserve">hours, the oral volume of </w:t>
      </w:r>
      <w:proofErr w:type="gramStart"/>
      <w:r w:rsidRPr="00464D77">
        <w:rPr>
          <w:rFonts w:ascii="Times New Roman" w:eastAsia="Times New Roman" w:hAnsi="Times New Roman" w:cs="Times New Roman"/>
          <w:sz w:val="24"/>
          <w:szCs w:val="24"/>
          <w:lang w:val="en-US" w:eastAsia="fr-FR"/>
        </w:rPr>
        <w:t>dist</w:t>
      </w:r>
      <w:r w:rsidR="000E460D">
        <w:rPr>
          <w:rFonts w:ascii="Times New Roman" w:eastAsia="Times New Roman" w:hAnsi="Times New Roman" w:cs="Times New Roman"/>
          <w:sz w:val="24"/>
          <w:szCs w:val="24"/>
          <w:lang w:val="en-US" w:eastAsia="fr-FR"/>
        </w:rPr>
        <w:t>ribution</w:t>
      </w:r>
      <w:proofErr w:type="gramEnd"/>
      <w:r w:rsidR="000E460D">
        <w:rPr>
          <w:rFonts w:ascii="Times New Roman" w:eastAsia="Times New Roman" w:hAnsi="Times New Roman" w:cs="Times New Roman"/>
          <w:sz w:val="24"/>
          <w:szCs w:val="24"/>
          <w:lang w:val="en-US" w:eastAsia="fr-FR"/>
        </w:rPr>
        <w:t xml:space="preserve"> (V/F) is approximately </w:t>
      </w:r>
      <w:r w:rsidRPr="00464D77">
        <w:rPr>
          <w:rFonts w:ascii="Times New Roman" w:eastAsia="Times New Roman" w:hAnsi="Times New Roman" w:cs="Times New Roman"/>
          <w:sz w:val="24"/>
          <w:szCs w:val="24"/>
          <w:lang w:val="en-US" w:eastAsia="fr-FR"/>
        </w:rPr>
        <w:t>349 L, and the clea</w:t>
      </w:r>
      <w:r w:rsidR="000E460D">
        <w:rPr>
          <w:rFonts w:ascii="Times New Roman" w:eastAsia="Times New Roman" w:hAnsi="Times New Roman" w:cs="Times New Roman"/>
          <w:sz w:val="24"/>
          <w:szCs w:val="24"/>
          <w:lang w:val="en-US" w:eastAsia="fr-FR"/>
        </w:rPr>
        <w:t xml:space="preserve">rance (CL/F) at steady state is </w:t>
      </w:r>
      <w:r w:rsidRPr="00464D77">
        <w:rPr>
          <w:rFonts w:ascii="Times New Roman" w:eastAsia="Times New Roman" w:hAnsi="Times New Roman" w:cs="Times New Roman"/>
          <w:sz w:val="24"/>
          <w:szCs w:val="24"/>
          <w:lang w:val="en-US" w:eastAsia="fr-FR"/>
        </w:rPr>
        <w:t>estimated to be 4.4 L/h. The te</w:t>
      </w:r>
      <w:r w:rsidR="000E460D">
        <w:rPr>
          <w:rFonts w:ascii="Times New Roman" w:eastAsia="Times New Roman" w:hAnsi="Times New Roman" w:cs="Times New Roman"/>
          <w:sz w:val="24"/>
          <w:szCs w:val="24"/>
          <w:lang w:val="en-US" w:eastAsia="fr-FR"/>
        </w:rPr>
        <w:t xml:space="preserve">rminal t1/2 after a single oral </w:t>
      </w:r>
      <w:r w:rsidRPr="00464D77">
        <w:rPr>
          <w:rFonts w:ascii="Times New Roman" w:eastAsia="Times New Roman" w:hAnsi="Times New Roman" w:cs="Times New Roman"/>
          <w:sz w:val="24"/>
          <w:szCs w:val="24"/>
          <w:lang w:val="en-US" w:eastAsia="fr-FR"/>
        </w:rPr>
        <w:t>dose in healthy volunteers is approximately 120 hours.</w:t>
      </w:r>
      <w:r w:rsidR="000E460D">
        <w:rPr>
          <w:rFonts w:ascii="Times New Roman" w:eastAsia="Times New Roman" w:hAnsi="Times New Roman" w:cs="Times New Roman"/>
          <w:sz w:val="24"/>
          <w:szCs w:val="24"/>
          <w:lang w:val="en-US" w:eastAsia="fr-FR"/>
        </w:rPr>
        <w:t xml:space="preserve"> …</w:t>
      </w:r>
    </w:p>
    <w:p w:rsidR="001170DD" w:rsidRDefault="001170DD" w:rsidP="001170DD">
      <w:pPr>
        <w:spacing w:before="100" w:beforeAutospacing="1" w:after="100" w:afterAutospacing="1" w:line="240" w:lineRule="auto"/>
        <w:rPr>
          <w:rFonts w:ascii="Times New Roman" w:eastAsia="Times New Roman" w:hAnsi="Times New Roman" w:cs="Times New Roman"/>
          <w:sz w:val="24"/>
          <w:szCs w:val="24"/>
          <w:lang w:val="en-US" w:eastAsia="fr-FR"/>
        </w:rPr>
      </w:pPr>
    </w:p>
    <w:p w:rsidR="006E6E32" w:rsidRPr="002F7EDA" w:rsidRDefault="001170DD" w:rsidP="001170DD">
      <w:pPr>
        <w:spacing w:before="100" w:beforeAutospacing="1" w:after="100" w:afterAutospacing="1" w:line="240" w:lineRule="auto"/>
        <w:rPr>
          <w:rFonts w:ascii="Times New Roman" w:eastAsia="Times New Roman" w:hAnsi="Times New Roman" w:cs="Times New Roman"/>
          <w:sz w:val="24"/>
          <w:szCs w:val="24"/>
          <w:lang w:val="en-US" w:eastAsia="fr-FR"/>
        </w:rPr>
      </w:pPr>
      <w:r w:rsidRPr="00FD364F">
        <w:rPr>
          <w:noProof/>
          <w:lang w:eastAsia="fr-FR"/>
        </w:rPr>
        <w:lastRenderedPageBreak/>
        <w:drawing>
          <wp:inline distT="0" distB="0" distL="0" distR="0" wp14:anchorId="3217C864" wp14:editId="556F7C4B">
            <wp:extent cx="5972810" cy="2364105"/>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810" cy="2364105"/>
                    </a:xfrm>
                    <a:prstGeom prst="rect">
                      <a:avLst/>
                    </a:prstGeom>
                    <a:noFill/>
                    <a:ln>
                      <a:noFill/>
                    </a:ln>
                  </pic:spPr>
                </pic:pic>
              </a:graphicData>
            </a:graphic>
          </wp:inline>
        </w:drawing>
      </w:r>
      <w:r w:rsidRPr="001170DD">
        <w:rPr>
          <w:rFonts w:ascii="Times New Roman" w:eastAsia="Times New Roman" w:hAnsi="Times New Roman" w:cs="Times New Roman"/>
          <w:sz w:val="24"/>
          <w:szCs w:val="24"/>
          <w:lang w:eastAsia="fr-FR"/>
        </w:rPr>
        <w:t xml:space="preserve">Figure 1. </w:t>
      </w:r>
      <w:r>
        <w:rPr>
          <w:rFonts w:ascii="Times New Roman" w:eastAsia="Times New Roman" w:hAnsi="Times New Roman" w:cs="Times New Roman"/>
          <w:sz w:val="24"/>
          <w:szCs w:val="24"/>
          <w:lang w:eastAsia="fr-FR"/>
        </w:rPr>
        <w:t>“D</w:t>
      </w:r>
      <w:r w:rsidRPr="001170DD">
        <w:rPr>
          <w:rFonts w:ascii="Times New Roman" w:eastAsia="Times New Roman" w:hAnsi="Times New Roman" w:cs="Times New Roman"/>
          <w:sz w:val="24"/>
          <w:szCs w:val="24"/>
          <w:lang w:eastAsia="fr-FR"/>
        </w:rPr>
        <w:t>esign” de l’étude</w:t>
      </w:r>
      <w:r>
        <w:rPr>
          <w:noProof/>
          <w:lang w:eastAsia="fr-FR"/>
        </w:rPr>
        <w:t>. F</w:t>
      </w:r>
      <w:r w:rsidR="00AD745E">
        <w:rPr>
          <w:noProof/>
          <w:lang w:eastAsia="fr-FR"/>
        </w:rPr>
        <w:t>BE, freebase equivalent.</w:t>
      </w:r>
    </w:p>
    <w:p w:rsidR="002F7EDA" w:rsidRDefault="002F7EDA" w:rsidP="001170DD">
      <w:pPr>
        <w:spacing w:before="100" w:beforeAutospacing="1" w:after="100" w:afterAutospacing="1" w:line="240" w:lineRule="auto"/>
        <w:rPr>
          <w:noProof/>
          <w:lang w:eastAsia="fr-FR"/>
        </w:rPr>
      </w:pPr>
    </w:p>
    <w:p w:rsidR="002F7EDA" w:rsidRDefault="00AD745E" w:rsidP="001170DD">
      <w:pPr>
        <w:spacing w:before="100" w:beforeAutospacing="1" w:after="100" w:afterAutospacing="1" w:line="240" w:lineRule="auto"/>
        <w:rPr>
          <w:rFonts w:ascii="Times New Roman" w:eastAsia="Times New Roman" w:hAnsi="Times New Roman" w:cs="Times New Roman"/>
          <w:sz w:val="24"/>
          <w:szCs w:val="24"/>
          <w:lang w:eastAsia="fr-FR"/>
        </w:rPr>
      </w:pPr>
      <w:r w:rsidRPr="00D967E7">
        <w:rPr>
          <w:noProof/>
          <w:lang w:eastAsia="fr-FR"/>
        </w:rPr>
        <w:drawing>
          <wp:inline distT="0" distB="0" distL="0" distR="0" wp14:anchorId="50CDB6AA" wp14:editId="7EE58706">
            <wp:extent cx="4924425" cy="407872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5302" cy="4079454"/>
                    </a:xfrm>
                    <a:prstGeom prst="rect">
                      <a:avLst/>
                    </a:prstGeom>
                    <a:noFill/>
                    <a:ln>
                      <a:noFill/>
                    </a:ln>
                  </pic:spPr>
                </pic:pic>
              </a:graphicData>
            </a:graphic>
          </wp:inline>
        </w:drawing>
      </w:r>
    </w:p>
    <w:p w:rsidR="002F7EDA" w:rsidRDefault="00AD745E" w:rsidP="001170DD">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Table 1. Paramètres pharmacocinétiques après administration de 140 mg de </w:t>
      </w:r>
      <w:proofErr w:type="spellStart"/>
      <w:r>
        <w:rPr>
          <w:rFonts w:ascii="Times New Roman" w:eastAsia="Times New Roman" w:hAnsi="Times New Roman" w:cs="Times New Roman"/>
          <w:sz w:val="24"/>
          <w:szCs w:val="24"/>
          <w:lang w:eastAsia="fr-FR"/>
        </w:rPr>
        <w:t>cabozatinib</w:t>
      </w:r>
      <w:proofErr w:type="spellEnd"/>
      <w:r>
        <w:rPr>
          <w:rFonts w:ascii="Times New Roman" w:eastAsia="Times New Roman" w:hAnsi="Times New Roman" w:cs="Times New Roman"/>
          <w:sz w:val="24"/>
          <w:szCs w:val="24"/>
          <w:lang w:eastAsia="fr-FR"/>
        </w:rPr>
        <w:t xml:space="preserve"> avec sans</w:t>
      </w:r>
      <w:r w:rsidR="002F7EDA">
        <w:rPr>
          <w:rFonts w:ascii="Times New Roman" w:eastAsia="Times New Roman" w:hAnsi="Times New Roman" w:cs="Times New Roman"/>
          <w:sz w:val="24"/>
          <w:szCs w:val="24"/>
          <w:lang w:eastAsia="fr-FR"/>
        </w:rPr>
        <w:t xml:space="preserve"> rifampicine</w:t>
      </w:r>
      <w:r>
        <w:rPr>
          <w:rFonts w:ascii="Times New Roman" w:eastAsia="Times New Roman" w:hAnsi="Times New Roman" w:cs="Times New Roman"/>
          <w:sz w:val="24"/>
          <w:szCs w:val="24"/>
          <w:lang w:eastAsia="fr-FR"/>
        </w:rPr>
        <w:t>.</w:t>
      </w:r>
    </w:p>
    <w:p w:rsidR="00AD745E" w:rsidRPr="001170DD" w:rsidRDefault="002F7EDA" w:rsidP="001170DD">
      <w:pPr>
        <w:spacing w:before="100" w:beforeAutospacing="1" w:after="100" w:afterAutospacing="1" w:line="240" w:lineRule="auto"/>
        <w:rPr>
          <w:rFonts w:ascii="Times New Roman" w:eastAsia="Times New Roman" w:hAnsi="Times New Roman" w:cs="Times New Roman"/>
          <w:sz w:val="24"/>
          <w:szCs w:val="24"/>
          <w:lang w:eastAsia="fr-FR"/>
        </w:rPr>
      </w:pPr>
      <w:r w:rsidRPr="002F7EDA">
        <w:rPr>
          <w:i/>
          <w:noProof/>
          <w:lang w:eastAsia="fr-FR"/>
        </w:rPr>
        <w:lastRenderedPageBreak/>
        <w:t xml:space="preserve"> </w:t>
      </w:r>
      <w:r w:rsidRPr="002F7EDA">
        <w:rPr>
          <w:i/>
          <w:noProof/>
          <w:lang w:eastAsia="fr-FR"/>
        </w:rPr>
        <w:drawing>
          <wp:inline distT="0" distB="0" distL="0" distR="0" wp14:anchorId="575A0968" wp14:editId="3427C4F5">
            <wp:extent cx="3933825" cy="2868964"/>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0134" cy="2873565"/>
                    </a:xfrm>
                    <a:prstGeom prst="rect">
                      <a:avLst/>
                    </a:prstGeom>
                    <a:noFill/>
                    <a:ln>
                      <a:noFill/>
                    </a:ln>
                  </pic:spPr>
                </pic:pic>
              </a:graphicData>
            </a:graphic>
          </wp:inline>
        </w:drawing>
      </w:r>
    </w:p>
    <w:p w:rsidR="001170DD" w:rsidRPr="002F7EDA" w:rsidRDefault="001170DD" w:rsidP="00FD364F">
      <w:pPr>
        <w:spacing w:before="100" w:beforeAutospacing="1" w:after="100" w:afterAutospacing="1" w:line="240" w:lineRule="auto"/>
        <w:rPr>
          <w:rFonts w:ascii="Times New Roman" w:eastAsia="Times New Roman" w:hAnsi="Times New Roman" w:cs="Times New Roman"/>
          <w:i/>
          <w:sz w:val="24"/>
          <w:szCs w:val="24"/>
          <w:lang w:eastAsia="fr-FR"/>
        </w:rPr>
      </w:pPr>
    </w:p>
    <w:p w:rsidR="00015745" w:rsidRPr="005064D3" w:rsidRDefault="00015745" w:rsidP="00015745">
      <w:pPr>
        <w:jc w:val="both"/>
        <w:rPr>
          <w:rFonts w:ascii="Calibri" w:hAnsi="Calibri" w:cs="Calibri"/>
          <w:b/>
        </w:rPr>
      </w:pPr>
      <w:r w:rsidRPr="003040C5">
        <w:rPr>
          <w:rFonts w:ascii="Calibri" w:hAnsi="Calibri" w:cs="Calibri"/>
          <w:b/>
        </w:rPr>
        <w:t>Questions</w:t>
      </w:r>
    </w:p>
    <w:p w:rsidR="006E6E32" w:rsidRDefault="006E6E32" w:rsidP="00015745">
      <w:pPr>
        <w:numPr>
          <w:ilvl w:val="0"/>
          <w:numId w:val="1"/>
        </w:numPr>
        <w:spacing w:after="0" w:line="240" w:lineRule="auto"/>
        <w:jc w:val="both"/>
        <w:rPr>
          <w:rFonts w:ascii="Calibri" w:hAnsi="Calibri" w:cs="Calibri"/>
        </w:rPr>
      </w:pPr>
      <w:r>
        <w:rPr>
          <w:rFonts w:ascii="Calibri" w:hAnsi="Calibri" w:cs="Calibri"/>
        </w:rPr>
        <w:t>Justifier le fait que cette étude ai</w:t>
      </w:r>
      <w:r w:rsidR="007C3A13">
        <w:rPr>
          <w:rFonts w:ascii="Calibri" w:hAnsi="Calibri" w:cs="Calibri"/>
        </w:rPr>
        <w:t>t</w:t>
      </w:r>
      <w:r>
        <w:rPr>
          <w:rFonts w:ascii="Calibri" w:hAnsi="Calibri" w:cs="Calibri"/>
        </w:rPr>
        <w:t xml:space="preserve"> été réal</w:t>
      </w:r>
      <w:r w:rsidR="00464D77">
        <w:rPr>
          <w:rFonts w:ascii="Calibri" w:hAnsi="Calibri" w:cs="Calibri"/>
        </w:rPr>
        <w:t>isée chez des volontaires sains.</w:t>
      </w:r>
    </w:p>
    <w:p w:rsidR="006E6E32" w:rsidRDefault="006E6E32" w:rsidP="00D31129">
      <w:pPr>
        <w:spacing w:after="0" w:line="240" w:lineRule="auto"/>
        <w:ind w:left="720"/>
        <w:jc w:val="both"/>
        <w:rPr>
          <w:rFonts w:ascii="Calibri" w:hAnsi="Calibri" w:cs="Calibri"/>
        </w:rPr>
      </w:pPr>
    </w:p>
    <w:p w:rsidR="00015745" w:rsidRDefault="00015745" w:rsidP="00015745">
      <w:pPr>
        <w:numPr>
          <w:ilvl w:val="0"/>
          <w:numId w:val="1"/>
        </w:numPr>
        <w:spacing w:after="0" w:line="240" w:lineRule="auto"/>
        <w:jc w:val="both"/>
        <w:rPr>
          <w:rFonts w:ascii="Calibri" w:hAnsi="Calibri" w:cs="Calibri"/>
        </w:rPr>
      </w:pPr>
      <w:r w:rsidRPr="003040C5">
        <w:rPr>
          <w:rFonts w:ascii="Calibri" w:hAnsi="Calibri" w:cs="Calibri"/>
        </w:rPr>
        <w:t xml:space="preserve">Justifier le « design » </w:t>
      </w:r>
      <w:r>
        <w:rPr>
          <w:rFonts w:ascii="Calibri" w:hAnsi="Calibri" w:cs="Calibri"/>
        </w:rPr>
        <w:t xml:space="preserve">(la méthodologie générale) </w:t>
      </w:r>
      <w:r w:rsidRPr="003040C5">
        <w:rPr>
          <w:rFonts w:ascii="Calibri" w:hAnsi="Calibri" w:cs="Calibri"/>
        </w:rPr>
        <w:t>de l’étude</w:t>
      </w:r>
      <w:r>
        <w:rPr>
          <w:rFonts w:ascii="Calibri" w:hAnsi="Calibri" w:cs="Calibri"/>
        </w:rPr>
        <w:t xml:space="preserve"> clinique</w:t>
      </w:r>
      <w:r w:rsidR="00AD745E">
        <w:rPr>
          <w:rFonts w:ascii="Calibri" w:hAnsi="Calibri" w:cs="Calibri"/>
        </w:rPr>
        <w:t> :</w:t>
      </w:r>
    </w:p>
    <w:p w:rsidR="006E6E32" w:rsidRDefault="006E6E32" w:rsidP="00AD745E">
      <w:pPr>
        <w:numPr>
          <w:ilvl w:val="1"/>
          <w:numId w:val="1"/>
        </w:numPr>
        <w:spacing w:after="0" w:line="240" w:lineRule="auto"/>
        <w:jc w:val="both"/>
        <w:rPr>
          <w:rFonts w:ascii="Calibri" w:hAnsi="Calibri" w:cs="Calibri"/>
        </w:rPr>
      </w:pPr>
      <w:r>
        <w:rPr>
          <w:rFonts w:ascii="Calibri" w:hAnsi="Calibri" w:cs="Calibri"/>
        </w:rPr>
        <w:t>Pour quelle raison la rifampicine a-t-elle été administrée pendant 10 jours avant la 2</w:t>
      </w:r>
      <w:r w:rsidRPr="006E6E32">
        <w:rPr>
          <w:rFonts w:ascii="Calibri" w:hAnsi="Calibri" w:cs="Calibri"/>
          <w:vertAlign w:val="superscript"/>
        </w:rPr>
        <w:t>nde</w:t>
      </w:r>
      <w:r>
        <w:rPr>
          <w:rFonts w:ascii="Calibri" w:hAnsi="Calibri" w:cs="Calibri"/>
        </w:rPr>
        <w:t xml:space="preserve"> administration de </w:t>
      </w:r>
      <w:proofErr w:type="spellStart"/>
      <w:r>
        <w:rPr>
          <w:rFonts w:ascii="Calibri" w:hAnsi="Calibri" w:cs="Calibri"/>
        </w:rPr>
        <w:t>cabozantinib</w:t>
      </w:r>
      <w:proofErr w:type="spellEnd"/>
      <w:r>
        <w:rPr>
          <w:rFonts w:ascii="Calibri" w:hAnsi="Calibri" w:cs="Calibri"/>
        </w:rPr>
        <w:t> ?</w:t>
      </w:r>
    </w:p>
    <w:p w:rsidR="00AD745E" w:rsidRDefault="00AD745E" w:rsidP="00AD745E">
      <w:pPr>
        <w:numPr>
          <w:ilvl w:val="1"/>
          <w:numId w:val="1"/>
        </w:numPr>
        <w:spacing w:after="0" w:line="240" w:lineRule="auto"/>
        <w:jc w:val="both"/>
        <w:rPr>
          <w:rFonts w:ascii="Calibri" w:hAnsi="Calibri" w:cs="Calibri"/>
        </w:rPr>
      </w:pPr>
      <w:r>
        <w:rPr>
          <w:rFonts w:ascii="Calibri" w:hAnsi="Calibri" w:cs="Calibri"/>
        </w:rPr>
        <w:t xml:space="preserve">Pour quelle </w:t>
      </w:r>
      <w:r w:rsidR="006E6E32">
        <w:rPr>
          <w:rFonts w:ascii="Calibri" w:hAnsi="Calibri" w:cs="Calibri"/>
        </w:rPr>
        <w:t xml:space="preserve">raison un période de </w:t>
      </w:r>
      <w:r w:rsidR="00464D77">
        <w:rPr>
          <w:rFonts w:ascii="Calibri" w:hAnsi="Calibri" w:cs="Calibri"/>
        </w:rPr>
        <w:t>42 jours</w:t>
      </w:r>
      <w:r w:rsidR="006E6E32">
        <w:rPr>
          <w:rFonts w:ascii="Calibri" w:hAnsi="Calibri" w:cs="Calibri"/>
        </w:rPr>
        <w:t xml:space="preserve"> a-t-elle respectée entre les </w:t>
      </w:r>
      <w:r w:rsidR="00464D77">
        <w:rPr>
          <w:rFonts w:ascii="Calibri" w:hAnsi="Calibri" w:cs="Calibri"/>
        </w:rPr>
        <w:t xml:space="preserve">deux administrations de </w:t>
      </w:r>
      <w:proofErr w:type="spellStart"/>
      <w:r w:rsidR="00464D77">
        <w:rPr>
          <w:rFonts w:ascii="Calibri" w:hAnsi="Calibri" w:cs="Calibri"/>
        </w:rPr>
        <w:t>cabozantinib</w:t>
      </w:r>
      <w:proofErr w:type="spellEnd"/>
      <w:r w:rsidR="00D31129">
        <w:rPr>
          <w:rFonts w:ascii="Calibri" w:hAnsi="Calibri" w:cs="Calibri"/>
        </w:rPr>
        <w:t> ? Quelle aurait, au vu des résultats pharmacocinétiques, la période minimale à respecter ?</w:t>
      </w:r>
    </w:p>
    <w:p w:rsidR="00015745" w:rsidRDefault="00D31129" w:rsidP="00015745">
      <w:pPr>
        <w:numPr>
          <w:ilvl w:val="1"/>
          <w:numId w:val="1"/>
        </w:numPr>
        <w:spacing w:after="0" w:line="240" w:lineRule="auto"/>
        <w:jc w:val="both"/>
        <w:rPr>
          <w:rFonts w:ascii="Calibri" w:hAnsi="Calibri" w:cs="Calibri"/>
        </w:rPr>
      </w:pPr>
      <w:r>
        <w:rPr>
          <w:rFonts w:ascii="Calibri" w:hAnsi="Calibri" w:cs="Calibri"/>
        </w:rPr>
        <w:t xml:space="preserve">Lorsqu’une étude d’interaction médicamenteuse est réalisée, habituellement la moitié des volontaires reçoivent le médicament (ici le </w:t>
      </w:r>
      <w:proofErr w:type="spellStart"/>
      <w:r>
        <w:rPr>
          <w:rFonts w:ascii="Calibri" w:hAnsi="Calibri" w:cs="Calibri"/>
        </w:rPr>
        <w:t>cabozantinib</w:t>
      </w:r>
      <w:proofErr w:type="spellEnd"/>
      <w:r>
        <w:rPr>
          <w:rFonts w:ascii="Calibri" w:hAnsi="Calibri" w:cs="Calibri"/>
        </w:rPr>
        <w:t>) seul puis le médicament en présence de la molécule interférant (ici la rifampicine) et l’autre moitié des patients selon la séquence inverse (</w:t>
      </w:r>
      <w:r w:rsidR="00464D77">
        <w:rPr>
          <w:rFonts w:ascii="Calibri" w:hAnsi="Calibri" w:cs="Calibri"/>
        </w:rPr>
        <w:t xml:space="preserve">i.e., </w:t>
      </w:r>
      <w:r>
        <w:rPr>
          <w:rFonts w:ascii="Calibri" w:hAnsi="Calibri" w:cs="Calibri"/>
        </w:rPr>
        <w:t xml:space="preserve">en association puis seul). Pour quelle raison, tous les volontaires de cette étude ont-t-ils reçu la première séquence ? Quels sont les limites </w:t>
      </w:r>
      <w:r w:rsidR="00464D77">
        <w:rPr>
          <w:rFonts w:ascii="Calibri" w:hAnsi="Calibri" w:cs="Calibri"/>
        </w:rPr>
        <w:t>de la méthodologie adaptée</w:t>
      </w:r>
      <w:r>
        <w:rPr>
          <w:rFonts w:ascii="Calibri" w:hAnsi="Calibri" w:cs="Calibri"/>
        </w:rPr>
        <w:t> ?</w:t>
      </w:r>
    </w:p>
    <w:p w:rsidR="005064D3" w:rsidRPr="005064D3" w:rsidRDefault="005064D3" w:rsidP="005064D3">
      <w:pPr>
        <w:spacing w:after="0" w:line="240" w:lineRule="auto"/>
        <w:ind w:left="1440"/>
        <w:jc w:val="both"/>
        <w:rPr>
          <w:rFonts w:ascii="Calibri" w:hAnsi="Calibri" w:cs="Calibri"/>
        </w:rPr>
      </w:pPr>
    </w:p>
    <w:p w:rsidR="00553F7B" w:rsidRDefault="00553F7B" w:rsidP="00015745">
      <w:pPr>
        <w:numPr>
          <w:ilvl w:val="0"/>
          <w:numId w:val="1"/>
        </w:numPr>
        <w:spacing w:after="0" w:line="240" w:lineRule="auto"/>
        <w:jc w:val="both"/>
        <w:rPr>
          <w:rFonts w:ascii="Calibri" w:hAnsi="Calibri" w:cs="Calibri"/>
        </w:rPr>
      </w:pPr>
      <w:r>
        <w:rPr>
          <w:rFonts w:ascii="Calibri" w:hAnsi="Calibri" w:cs="Calibri"/>
        </w:rPr>
        <w:t>Détermination des paramètres pharmacocinétiques :</w:t>
      </w:r>
    </w:p>
    <w:p w:rsidR="00553F7B" w:rsidRDefault="00015745" w:rsidP="00553F7B">
      <w:pPr>
        <w:numPr>
          <w:ilvl w:val="1"/>
          <w:numId w:val="1"/>
        </w:numPr>
        <w:spacing w:after="0" w:line="240" w:lineRule="auto"/>
        <w:jc w:val="both"/>
        <w:rPr>
          <w:rFonts w:ascii="Calibri" w:hAnsi="Calibri" w:cs="Calibri"/>
        </w:rPr>
      </w:pPr>
      <w:r w:rsidRPr="003040C5">
        <w:rPr>
          <w:rFonts w:ascii="Calibri" w:hAnsi="Calibri" w:cs="Calibri"/>
        </w:rPr>
        <w:t>Par quelle méthode</w:t>
      </w:r>
      <w:r w:rsidR="00553F7B">
        <w:rPr>
          <w:rFonts w:ascii="Calibri" w:hAnsi="Calibri" w:cs="Calibri"/>
        </w:rPr>
        <w:t>, rendue possible par le nombre important de prélèvements sanguins</w:t>
      </w:r>
      <w:r w:rsidRPr="003040C5">
        <w:rPr>
          <w:rFonts w:ascii="Calibri" w:hAnsi="Calibri" w:cs="Calibri"/>
        </w:rPr>
        <w:t xml:space="preserve"> </w:t>
      </w:r>
      <w:r>
        <w:rPr>
          <w:rFonts w:ascii="Calibri" w:hAnsi="Calibri" w:cs="Calibri"/>
        </w:rPr>
        <w:t>a</w:t>
      </w:r>
      <w:r w:rsidRPr="003040C5">
        <w:rPr>
          <w:rFonts w:ascii="Calibri" w:hAnsi="Calibri" w:cs="Calibri"/>
        </w:rPr>
        <w:t xml:space="preserve"> été calcul</w:t>
      </w:r>
      <w:r w:rsidR="00553F7B">
        <w:rPr>
          <w:rFonts w:ascii="Calibri" w:hAnsi="Calibri" w:cs="Calibri"/>
        </w:rPr>
        <w:t>ée l’AUC de chaque volontaire ?</w:t>
      </w:r>
    </w:p>
    <w:p w:rsidR="007C3A13" w:rsidRDefault="00553F7B" w:rsidP="00553F7B">
      <w:pPr>
        <w:numPr>
          <w:ilvl w:val="1"/>
          <w:numId w:val="1"/>
        </w:numPr>
        <w:spacing w:after="0" w:line="240" w:lineRule="auto"/>
        <w:jc w:val="both"/>
        <w:rPr>
          <w:rFonts w:ascii="Calibri" w:hAnsi="Calibri" w:cs="Calibri"/>
        </w:rPr>
      </w:pPr>
      <w:r>
        <w:rPr>
          <w:rFonts w:ascii="Calibri" w:hAnsi="Calibri" w:cs="Calibri"/>
        </w:rPr>
        <w:t xml:space="preserve">Estimer graphiquement la demi-vie d’élimination du </w:t>
      </w:r>
      <w:proofErr w:type="spellStart"/>
      <w:r>
        <w:rPr>
          <w:rFonts w:ascii="Calibri" w:hAnsi="Calibri" w:cs="Calibri"/>
        </w:rPr>
        <w:t>cabozantinib</w:t>
      </w:r>
      <w:proofErr w:type="spellEnd"/>
      <w:r>
        <w:rPr>
          <w:rFonts w:ascii="Calibri" w:hAnsi="Calibri" w:cs="Calibri"/>
        </w:rPr>
        <w:t xml:space="preserve"> (en l’absence de rifampicine) en détaillant </w:t>
      </w:r>
      <w:r w:rsidR="007C3A13">
        <w:rPr>
          <w:rFonts w:ascii="Calibri" w:hAnsi="Calibri" w:cs="Calibri"/>
        </w:rPr>
        <w:t>votre calcul.</w:t>
      </w:r>
    </w:p>
    <w:p w:rsidR="00015745" w:rsidRDefault="00464D77" w:rsidP="00015745">
      <w:pPr>
        <w:numPr>
          <w:ilvl w:val="1"/>
          <w:numId w:val="1"/>
        </w:numPr>
        <w:spacing w:after="0" w:line="240" w:lineRule="auto"/>
        <w:jc w:val="both"/>
        <w:rPr>
          <w:rFonts w:ascii="Calibri" w:hAnsi="Calibri" w:cs="Calibri"/>
        </w:rPr>
      </w:pPr>
      <w:r>
        <w:rPr>
          <w:rFonts w:ascii="Calibri" w:hAnsi="Calibri" w:cs="Calibri"/>
        </w:rPr>
        <w:t>Par quelle équation</w:t>
      </w:r>
      <w:r w:rsidR="007C3A13">
        <w:rPr>
          <w:rFonts w:ascii="Calibri" w:hAnsi="Calibri" w:cs="Calibri"/>
        </w:rPr>
        <w:t xml:space="preserve"> la clairance orale (CL/F) a-t-elle été déterminée pour chaque volontaire ?</w:t>
      </w:r>
    </w:p>
    <w:p w:rsidR="005064D3" w:rsidRPr="005064D3" w:rsidRDefault="005064D3" w:rsidP="005064D3">
      <w:pPr>
        <w:spacing w:after="0" w:line="240" w:lineRule="auto"/>
        <w:ind w:left="1440"/>
        <w:jc w:val="both"/>
        <w:rPr>
          <w:rFonts w:ascii="Calibri" w:hAnsi="Calibri" w:cs="Calibri"/>
        </w:rPr>
      </w:pPr>
    </w:p>
    <w:p w:rsidR="00015745" w:rsidRDefault="007C3A13" w:rsidP="00015745">
      <w:pPr>
        <w:numPr>
          <w:ilvl w:val="0"/>
          <w:numId w:val="1"/>
        </w:numPr>
        <w:spacing w:after="0" w:line="240" w:lineRule="auto"/>
        <w:jc w:val="both"/>
        <w:rPr>
          <w:rFonts w:ascii="Calibri" w:hAnsi="Calibri" w:cs="Calibri"/>
        </w:rPr>
      </w:pPr>
      <w:r>
        <w:rPr>
          <w:rFonts w:ascii="Calibri" w:hAnsi="Calibri" w:cs="Calibri"/>
        </w:rPr>
        <w:t>La rifampicine modifie-t-elle le volume de distribution oral (</w:t>
      </w:r>
      <w:proofErr w:type="spellStart"/>
      <w:r>
        <w:rPr>
          <w:rFonts w:ascii="Calibri" w:hAnsi="Calibri" w:cs="Calibri"/>
        </w:rPr>
        <w:t>Vd</w:t>
      </w:r>
      <w:proofErr w:type="spellEnd"/>
      <w:r>
        <w:rPr>
          <w:rFonts w:ascii="Calibri" w:hAnsi="Calibri" w:cs="Calibri"/>
        </w:rPr>
        <w:t xml:space="preserve">/F) du </w:t>
      </w:r>
      <w:proofErr w:type="spellStart"/>
      <w:r>
        <w:rPr>
          <w:rFonts w:ascii="Calibri" w:hAnsi="Calibri" w:cs="Calibri"/>
        </w:rPr>
        <w:t>cabozantinib</w:t>
      </w:r>
      <w:proofErr w:type="spellEnd"/>
      <w:r>
        <w:rPr>
          <w:rFonts w:ascii="Calibri" w:hAnsi="Calibri" w:cs="Calibri"/>
        </w:rPr>
        <w:t> ?</w:t>
      </w:r>
    </w:p>
    <w:p w:rsidR="007C3A13" w:rsidRDefault="007C3A13" w:rsidP="00464D77">
      <w:pPr>
        <w:spacing w:after="0" w:line="240" w:lineRule="auto"/>
        <w:jc w:val="both"/>
        <w:rPr>
          <w:rFonts w:ascii="Calibri" w:hAnsi="Calibri" w:cs="Calibri"/>
        </w:rPr>
      </w:pPr>
    </w:p>
    <w:p w:rsidR="009B4485" w:rsidRPr="009B4485" w:rsidRDefault="009B4485" w:rsidP="009B4485">
      <w:pPr>
        <w:numPr>
          <w:ilvl w:val="0"/>
          <w:numId w:val="1"/>
        </w:numPr>
        <w:spacing w:after="0" w:line="240" w:lineRule="auto"/>
        <w:jc w:val="both"/>
        <w:rPr>
          <w:rFonts w:ascii="Calibri" w:hAnsi="Calibri" w:cs="Calibri"/>
        </w:rPr>
      </w:pPr>
      <w:r w:rsidRPr="009B4485">
        <w:rPr>
          <w:rFonts w:ascii="Calibri" w:hAnsi="Calibri" w:cs="Calibri"/>
        </w:rPr>
        <w:lastRenderedPageBreak/>
        <w:t xml:space="preserve">Sur le site de l’EMA, il est possible de lire pour le </w:t>
      </w:r>
      <w:proofErr w:type="spellStart"/>
      <w:r w:rsidRPr="009B4485">
        <w:rPr>
          <w:rFonts w:ascii="Calibri" w:hAnsi="Calibri" w:cs="Calibri"/>
        </w:rPr>
        <w:t>cabozantinib</w:t>
      </w:r>
      <w:proofErr w:type="spellEnd"/>
      <w:r w:rsidRPr="009B4485">
        <w:rPr>
          <w:rFonts w:ascii="Calibri" w:hAnsi="Calibri" w:cs="Calibri"/>
        </w:rPr>
        <w:t xml:space="preserve">: “The </w:t>
      </w:r>
      <w:proofErr w:type="spellStart"/>
      <w:r w:rsidRPr="009B4485">
        <w:rPr>
          <w:rFonts w:ascii="Calibri" w:hAnsi="Calibri" w:cs="Calibri"/>
        </w:rPr>
        <w:t>absolute</w:t>
      </w:r>
      <w:proofErr w:type="spellEnd"/>
      <w:r w:rsidRPr="009B4485">
        <w:rPr>
          <w:rFonts w:ascii="Calibri" w:hAnsi="Calibri" w:cs="Calibri"/>
        </w:rPr>
        <w:t xml:space="preserve"> </w:t>
      </w:r>
      <w:proofErr w:type="spellStart"/>
      <w:r w:rsidRPr="009B4485">
        <w:rPr>
          <w:rFonts w:ascii="Calibri" w:hAnsi="Calibri" w:cs="Calibri"/>
        </w:rPr>
        <w:t>bioavailability</w:t>
      </w:r>
      <w:proofErr w:type="spellEnd"/>
      <w:r w:rsidRPr="009B4485">
        <w:rPr>
          <w:rFonts w:ascii="Calibri" w:hAnsi="Calibri" w:cs="Calibri"/>
        </w:rPr>
        <w:t xml:space="preserve"> of </w:t>
      </w:r>
      <w:proofErr w:type="spellStart"/>
      <w:r w:rsidRPr="009B4485">
        <w:rPr>
          <w:rFonts w:ascii="Calibri" w:hAnsi="Calibri" w:cs="Calibri"/>
        </w:rPr>
        <w:t>cabozantinib</w:t>
      </w:r>
      <w:proofErr w:type="spellEnd"/>
      <w:r w:rsidRPr="009B4485">
        <w:rPr>
          <w:rFonts w:ascii="Calibri" w:hAnsi="Calibri" w:cs="Calibri"/>
        </w:rPr>
        <w:t xml:space="preserve"> has not been </w:t>
      </w:r>
      <w:proofErr w:type="spellStart"/>
      <w:r w:rsidRPr="009B4485">
        <w:rPr>
          <w:rFonts w:ascii="Calibri" w:hAnsi="Calibri" w:cs="Calibri"/>
        </w:rPr>
        <w:t>determined</w:t>
      </w:r>
      <w:proofErr w:type="spellEnd"/>
      <w:r w:rsidRPr="009B4485">
        <w:rPr>
          <w:rFonts w:ascii="Calibri" w:hAnsi="Calibri" w:cs="Calibri"/>
        </w:rPr>
        <w:t xml:space="preserve">. </w:t>
      </w:r>
      <w:r w:rsidRPr="009B4485">
        <w:rPr>
          <w:rFonts w:ascii="Calibri" w:hAnsi="Calibri" w:cs="Calibri"/>
          <w:lang w:val="en-US"/>
        </w:rPr>
        <w:t xml:space="preserve">Based on the provided mass balance study, however, at least 27% of the administered </w:t>
      </w:r>
      <w:proofErr w:type="spellStart"/>
      <w:r w:rsidRPr="009B4485">
        <w:rPr>
          <w:rFonts w:ascii="Calibri" w:hAnsi="Calibri" w:cs="Calibri"/>
          <w:lang w:val="en-US"/>
        </w:rPr>
        <w:t>cabozantinib</w:t>
      </w:r>
      <w:proofErr w:type="spellEnd"/>
      <w:r w:rsidRPr="009B4485">
        <w:rPr>
          <w:rFonts w:ascii="Calibri" w:hAnsi="Calibri" w:cs="Calibri"/>
          <w:lang w:val="en-US"/>
        </w:rPr>
        <w:t xml:space="preserve"> is </w:t>
      </w:r>
      <w:proofErr w:type="spellStart"/>
      <w:r w:rsidRPr="009B4485">
        <w:rPr>
          <w:rFonts w:ascii="Calibri" w:hAnsi="Calibri" w:cs="Calibri"/>
          <w:lang w:val="en-US"/>
        </w:rPr>
        <w:t>renally</w:t>
      </w:r>
      <w:proofErr w:type="spellEnd"/>
      <w:r w:rsidRPr="009B4485">
        <w:rPr>
          <w:rFonts w:ascii="Calibri" w:hAnsi="Calibri" w:cs="Calibri"/>
          <w:lang w:val="en-US"/>
        </w:rPr>
        <w:t xml:space="preserve"> excreted, and thus at least this fraction of the administered dose was absorbed.</w:t>
      </w:r>
      <w:r>
        <w:rPr>
          <w:rFonts w:ascii="Calibri" w:hAnsi="Calibri" w:cs="Calibri"/>
          <w:lang w:val="en-US"/>
        </w:rPr>
        <w:t xml:space="preserve">” </w:t>
      </w:r>
      <w:r w:rsidRPr="009B4485">
        <w:rPr>
          <w:rFonts w:ascii="Calibri" w:hAnsi="Calibri" w:cs="Calibri"/>
        </w:rPr>
        <w:t xml:space="preserve">Quels sont les résultats de cette étude qui permettent de penser que </w:t>
      </w:r>
      <w:r>
        <w:rPr>
          <w:rFonts w:ascii="Calibri" w:hAnsi="Calibri" w:cs="Calibri"/>
        </w:rPr>
        <w:t>l’effet de premier passage hépatique</w:t>
      </w:r>
      <w:r w:rsidRPr="009B4485">
        <w:rPr>
          <w:rFonts w:ascii="Calibri" w:hAnsi="Calibri" w:cs="Calibri"/>
        </w:rPr>
        <w:t xml:space="preserve"> </w:t>
      </w:r>
      <w:r w:rsidR="004C1EB0">
        <w:rPr>
          <w:rFonts w:ascii="Calibri" w:hAnsi="Calibri" w:cs="Calibri"/>
        </w:rPr>
        <w:t xml:space="preserve">du </w:t>
      </w:r>
      <w:proofErr w:type="spellStart"/>
      <w:r w:rsidR="004C1EB0">
        <w:rPr>
          <w:rFonts w:ascii="Calibri" w:hAnsi="Calibri" w:cs="Calibri"/>
        </w:rPr>
        <w:t>cabozantinib</w:t>
      </w:r>
      <w:proofErr w:type="spellEnd"/>
      <w:r w:rsidR="004C1EB0">
        <w:rPr>
          <w:rFonts w:ascii="Calibri" w:hAnsi="Calibri" w:cs="Calibri"/>
        </w:rPr>
        <w:t xml:space="preserve"> est faible ?</w:t>
      </w:r>
    </w:p>
    <w:p w:rsidR="00015745" w:rsidRPr="003040C5" w:rsidRDefault="00015745" w:rsidP="00015745">
      <w:pPr>
        <w:jc w:val="both"/>
        <w:rPr>
          <w:rFonts w:ascii="Calibri" w:hAnsi="Calibri" w:cs="Calibri"/>
        </w:rPr>
      </w:pPr>
    </w:p>
    <w:p w:rsidR="000E460D" w:rsidRPr="000E460D" w:rsidRDefault="000E460D" w:rsidP="000E460D">
      <w:pPr>
        <w:numPr>
          <w:ilvl w:val="0"/>
          <w:numId w:val="1"/>
        </w:numPr>
        <w:spacing w:after="0" w:line="240" w:lineRule="auto"/>
        <w:jc w:val="both"/>
        <w:rPr>
          <w:rFonts w:ascii="Calibri" w:hAnsi="Calibri" w:cs="Calibri"/>
        </w:rPr>
      </w:pPr>
      <w:r>
        <w:rPr>
          <w:rFonts w:ascii="Calibri" w:hAnsi="Calibri" w:cs="Calibri"/>
        </w:rPr>
        <w:t>Sachant que ce médicament est éliminé principalement par métabolisme hépatique :</w:t>
      </w:r>
    </w:p>
    <w:p w:rsidR="000E460D" w:rsidRDefault="000E460D" w:rsidP="000E460D">
      <w:pPr>
        <w:numPr>
          <w:ilvl w:val="1"/>
          <w:numId w:val="1"/>
        </w:numPr>
        <w:spacing w:after="0" w:line="240" w:lineRule="auto"/>
        <w:jc w:val="both"/>
        <w:rPr>
          <w:rFonts w:ascii="Calibri" w:hAnsi="Calibri" w:cs="Calibri"/>
        </w:rPr>
      </w:pPr>
      <w:r>
        <w:rPr>
          <w:rFonts w:ascii="Calibri" w:hAnsi="Calibri" w:cs="Calibri"/>
        </w:rPr>
        <w:t>est-ce un médicament à faible ou fort</w:t>
      </w:r>
      <w:r w:rsidR="00084D20">
        <w:rPr>
          <w:rFonts w:ascii="Calibri" w:hAnsi="Calibri" w:cs="Calibri"/>
        </w:rPr>
        <w:t>e</w:t>
      </w:r>
      <w:r>
        <w:rPr>
          <w:rFonts w:ascii="Calibri" w:hAnsi="Calibri" w:cs="Calibri"/>
        </w:rPr>
        <w:t xml:space="preserve"> clairance hépatique ? </w:t>
      </w:r>
    </w:p>
    <w:p w:rsidR="000E460D" w:rsidRDefault="000E460D" w:rsidP="000E460D">
      <w:pPr>
        <w:numPr>
          <w:ilvl w:val="1"/>
          <w:numId w:val="1"/>
        </w:numPr>
        <w:spacing w:after="0" w:line="240" w:lineRule="auto"/>
        <w:jc w:val="both"/>
        <w:rPr>
          <w:rFonts w:ascii="Calibri" w:hAnsi="Calibri" w:cs="Calibri"/>
        </w:rPr>
      </w:pPr>
      <w:r>
        <w:rPr>
          <w:rFonts w:ascii="Calibri" w:hAnsi="Calibri" w:cs="Calibri"/>
        </w:rPr>
        <w:t>étant lié à plus de 99% aux protéines plasmatiques, cette clairance sera-t-elle dépendante de la fraction libre plasmatique ?</w:t>
      </w:r>
    </w:p>
    <w:p w:rsidR="000E460D" w:rsidRDefault="000E460D" w:rsidP="000E460D">
      <w:pPr>
        <w:numPr>
          <w:ilvl w:val="1"/>
          <w:numId w:val="1"/>
        </w:numPr>
        <w:spacing w:after="0" w:line="240" w:lineRule="auto"/>
        <w:jc w:val="both"/>
        <w:rPr>
          <w:rFonts w:ascii="Calibri" w:hAnsi="Calibri" w:cs="Calibri"/>
        </w:rPr>
      </w:pPr>
      <w:r>
        <w:rPr>
          <w:rFonts w:ascii="Calibri" w:hAnsi="Calibri" w:cs="Calibri"/>
        </w:rPr>
        <w:t>en cas de modification de cette fraction libre, la demi-vie d’élimination sera-t-elle modifiée ?</w:t>
      </w:r>
    </w:p>
    <w:p w:rsidR="000E460D" w:rsidRPr="000E460D" w:rsidRDefault="000E460D" w:rsidP="000E460D">
      <w:pPr>
        <w:spacing w:after="0" w:line="240" w:lineRule="auto"/>
        <w:ind w:left="1440"/>
        <w:jc w:val="both"/>
        <w:rPr>
          <w:rFonts w:ascii="Calibri" w:hAnsi="Calibri" w:cs="Calibri"/>
        </w:rPr>
      </w:pPr>
    </w:p>
    <w:p w:rsidR="00985605" w:rsidRPr="00985605" w:rsidRDefault="00985605" w:rsidP="0099403E">
      <w:pPr>
        <w:numPr>
          <w:ilvl w:val="0"/>
          <w:numId w:val="1"/>
        </w:numPr>
        <w:spacing w:after="0" w:line="240" w:lineRule="auto"/>
        <w:jc w:val="both"/>
      </w:pPr>
      <w:r>
        <w:rPr>
          <w:rFonts w:ascii="Calibri" w:hAnsi="Calibri" w:cs="Calibri"/>
        </w:rPr>
        <w:t>Ce médicament est administré selon une prise quotidienne</w:t>
      </w:r>
      <w:r w:rsidR="00084D20">
        <w:rPr>
          <w:rFonts w:ascii="Calibri" w:hAnsi="Calibri" w:cs="Calibri"/>
        </w:rPr>
        <w:t xml:space="preserve"> (justifier vos réponses)</w:t>
      </w:r>
      <w:r>
        <w:rPr>
          <w:rFonts w:ascii="Calibri" w:hAnsi="Calibri" w:cs="Calibri"/>
        </w:rPr>
        <w:t> :</w:t>
      </w:r>
    </w:p>
    <w:p w:rsidR="00985605" w:rsidRPr="00985605" w:rsidRDefault="00985605" w:rsidP="00985605">
      <w:pPr>
        <w:numPr>
          <w:ilvl w:val="1"/>
          <w:numId w:val="1"/>
        </w:numPr>
        <w:spacing w:after="0" w:line="240" w:lineRule="auto"/>
        <w:jc w:val="both"/>
      </w:pPr>
      <w:r>
        <w:rPr>
          <w:rFonts w:ascii="Calibri" w:hAnsi="Calibri" w:cs="Calibri"/>
        </w:rPr>
        <w:t>le facteur d’accumulation serait-il modifié en présence de rifampicine ?</w:t>
      </w:r>
    </w:p>
    <w:p w:rsidR="00985605" w:rsidRPr="00985605" w:rsidRDefault="00985605" w:rsidP="00985605">
      <w:pPr>
        <w:numPr>
          <w:ilvl w:val="1"/>
          <w:numId w:val="1"/>
        </w:numPr>
        <w:spacing w:after="0" w:line="240" w:lineRule="auto"/>
        <w:jc w:val="both"/>
      </w:pPr>
      <w:r>
        <w:rPr>
          <w:rFonts w:ascii="Calibri" w:hAnsi="Calibri" w:cs="Calibri"/>
        </w:rPr>
        <w:t>augmenté ou diminué ?</w:t>
      </w:r>
    </w:p>
    <w:p w:rsidR="00985605" w:rsidRDefault="00985605" w:rsidP="00985605">
      <w:pPr>
        <w:numPr>
          <w:ilvl w:val="1"/>
          <w:numId w:val="1"/>
        </w:numPr>
        <w:spacing w:after="0" w:line="240" w:lineRule="auto"/>
        <w:jc w:val="both"/>
      </w:pPr>
      <w:r>
        <w:t>déterminer la (ou les) valeur(</w:t>
      </w:r>
      <w:r w:rsidR="00AC7396">
        <w:t>s) de ce facteur d’accumulation en présence ou non de rifampicine</w:t>
      </w:r>
    </w:p>
    <w:p w:rsidR="006C6EC7" w:rsidRDefault="006C6EC7">
      <w:r>
        <w:br w:type="page"/>
      </w:r>
    </w:p>
    <w:p w:rsidR="006C6EC7" w:rsidRPr="005064D3" w:rsidRDefault="00ED463B" w:rsidP="006C6EC7">
      <w:pPr>
        <w:jc w:val="both"/>
        <w:rPr>
          <w:rFonts w:ascii="Calibri" w:hAnsi="Calibri" w:cs="Calibri"/>
          <w:b/>
        </w:rPr>
      </w:pPr>
      <w:r>
        <w:rPr>
          <w:rFonts w:ascii="Calibri" w:hAnsi="Calibri" w:cs="Calibri"/>
          <w:b/>
        </w:rPr>
        <w:lastRenderedPageBreak/>
        <w:t>Réponses</w:t>
      </w:r>
    </w:p>
    <w:p w:rsidR="006C6EC7" w:rsidRDefault="006C6EC7" w:rsidP="006C6EC7">
      <w:pPr>
        <w:numPr>
          <w:ilvl w:val="0"/>
          <w:numId w:val="2"/>
        </w:numPr>
        <w:spacing w:after="0" w:line="240" w:lineRule="auto"/>
        <w:jc w:val="both"/>
        <w:rPr>
          <w:rFonts w:ascii="Calibri" w:hAnsi="Calibri" w:cs="Calibri"/>
        </w:rPr>
      </w:pPr>
      <w:r>
        <w:rPr>
          <w:rFonts w:ascii="Calibri" w:hAnsi="Calibri" w:cs="Calibri"/>
        </w:rPr>
        <w:t xml:space="preserve">Les études pharmacocinétiques en générale (d’interaction médicamenteuses  en particuliers) sont réalisées chez le volontaires sains afin de limiter la variabilité interindividuelle voir intra-individuelle ; le </w:t>
      </w:r>
      <w:proofErr w:type="spellStart"/>
      <w:r>
        <w:rPr>
          <w:rFonts w:ascii="Calibri" w:hAnsi="Calibri" w:cs="Calibri"/>
        </w:rPr>
        <w:t>cabozantinib</w:t>
      </w:r>
      <w:proofErr w:type="spellEnd"/>
      <w:r>
        <w:rPr>
          <w:rFonts w:ascii="Calibri" w:hAnsi="Calibri" w:cs="Calibri"/>
        </w:rPr>
        <w:t xml:space="preserve"> est un médicament anticancéreux mais pas un cytotoxique ; en tant que thérapie ciblée (n’étant pas mutagène), il peut être administré au volontaire sain.</w:t>
      </w:r>
    </w:p>
    <w:p w:rsidR="006C6EC7" w:rsidRDefault="006C6EC7" w:rsidP="006C6EC7">
      <w:pPr>
        <w:spacing w:after="0" w:line="240" w:lineRule="auto"/>
        <w:ind w:left="720"/>
        <w:jc w:val="both"/>
        <w:rPr>
          <w:rFonts w:ascii="Calibri" w:hAnsi="Calibri" w:cs="Calibri"/>
        </w:rPr>
      </w:pPr>
    </w:p>
    <w:p w:rsidR="006C6EC7" w:rsidRDefault="006C6EC7" w:rsidP="006C6EC7">
      <w:pPr>
        <w:numPr>
          <w:ilvl w:val="0"/>
          <w:numId w:val="2"/>
        </w:numPr>
        <w:spacing w:after="0" w:line="240" w:lineRule="auto"/>
        <w:jc w:val="both"/>
        <w:rPr>
          <w:rFonts w:ascii="Calibri" w:hAnsi="Calibri" w:cs="Calibri"/>
        </w:rPr>
      </w:pPr>
      <w:r>
        <w:rPr>
          <w:rFonts w:ascii="Calibri" w:hAnsi="Calibri" w:cs="Calibri"/>
        </w:rPr>
        <w:t xml:space="preserve">Justification du </w:t>
      </w:r>
      <w:r w:rsidRPr="003040C5">
        <w:rPr>
          <w:rFonts w:ascii="Calibri" w:hAnsi="Calibri" w:cs="Calibri"/>
        </w:rPr>
        <w:t xml:space="preserve">« design » </w:t>
      </w:r>
      <w:r>
        <w:rPr>
          <w:rFonts w:ascii="Calibri" w:hAnsi="Calibri" w:cs="Calibri"/>
        </w:rPr>
        <w:t xml:space="preserve">(la méthodologie générale) </w:t>
      </w:r>
      <w:r w:rsidRPr="003040C5">
        <w:rPr>
          <w:rFonts w:ascii="Calibri" w:hAnsi="Calibri" w:cs="Calibri"/>
        </w:rPr>
        <w:t>de l’étude</w:t>
      </w:r>
      <w:r>
        <w:rPr>
          <w:rFonts w:ascii="Calibri" w:hAnsi="Calibri" w:cs="Calibri"/>
        </w:rPr>
        <w:t xml:space="preserve"> clinique :</w:t>
      </w:r>
    </w:p>
    <w:p w:rsidR="006C6EC7" w:rsidRDefault="006C6EC7" w:rsidP="006C6EC7">
      <w:pPr>
        <w:numPr>
          <w:ilvl w:val="1"/>
          <w:numId w:val="2"/>
        </w:numPr>
        <w:spacing w:after="0" w:line="240" w:lineRule="auto"/>
        <w:jc w:val="both"/>
        <w:rPr>
          <w:rFonts w:ascii="Calibri" w:hAnsi="Calibri" w:cs="Calibri"/>
        </w:rPr>
      </w:pPr>
      <w:r>
        <w:rPr>
          <w:rFonts w:ascii="Calibri" w:hAnsi="Calibri" w:cs="Calibri"/>
        </w:rPr>
        <w:t>Une exposition suffisamment prolongée est nécessaire pour que les effets inducteurs enzymatiques de la rifampicine soit significatif (une prise de rifampicine n’a pas d’effet inducteur enzymatique notable).</w:t>
      </w:r>
    </w:p>
    <w:p w:rsidR="006C6EC7" w:rsidRDefault="006C6EC7" w:rsidP="006C6EC7">
      <w:pPr>
        <w:numPr>
          <w:ilvl w:val="1"/>
          <w:numId w:val="2"/>
        </w:numPr>
        <w:spacing w:after="0" w:line="240" w:lineRule="auto"/>
        <w:jc w:val="both"/>
        <w:rPr>
          <w:rFonts w:ascii="Calibri" w:hAnsi="Calibri" w:cs="Calibri"/>
        </w:rPr>
      </w:pPr>
      <w:r>
        <w:rPr>
          <w:rFonts w:ascii="Calibri" w:hAnsi="Calibri" w:cs="Calibri"/>
        </w:rPr>
        <w:t xml:space="preserve">La période de 42 jours a été appliquée afin de s’assurer que les concentrations de </w:t>
      </w:r>
      <w:proofErr w:type="spellStart"/>
      <w:r>
        <w:rPr>
          <w:rFonts w:ascii="Calibri" w:hAnsi="Calibri" w:cs="Calibri"/>
        </w:rPr>
        <w:t>cabozantinib</w:t>
      </w:r>
      <w:proofErr w:type="spellEnd"/>
      <w:r>
        <w:rPr>
          <w:rFonts w:ascii="Calibri" w:hAnsi="Calibri" w:cs="Calibri"/>
        </w:rPr>
        <w:t xml:space="preserve">  consécutives à l’administration précédente soient devenues nulles chez chaque volontaire. Au moins 5 T1/2 aurait dû être respectée soit 550 </w:t>
      </w:r>
      <w:proofErr w:type="spellStart"/>
      <w:r>
        <w:rPr>
          <w:rFonts w:ascii="Calibri" w:hAnsi="Calibri" w:cs="Calibri"/>
        </w:rPr>
        <w:t>hrs</w:t>
      </w:r>
      <w:proofErr w:type="spellEnd"/>
      <w:r>
        <w:rPr>
          <w:rFonts w:ascii="Calibri" w:hAnsi="Calibri" w:cs="Calibri"/>
        </w:rPr>
        <w:t>, soit 23 jours.</w:t>
      </w:r>
    </w:p>
    <w:p w:rsidR="00166315" w:rsidRDefault="006C6EC7" w:rsidP="006C6EC7">
      <w:pPr>
        <w:numPr>
          <w:ilvl w:val="1"/>
          <w:numId w:val="2"/>
        </w:numPr>
        <w:spacing w:after="0" w:line="240" w:lineRule="auto"/>
        <w:jc w:val="both"/>
        <w:rPr>
          <w:rFonts w:ascii="Calibri" w:hAnsi="Calibri" w:cs="Calibri"/>
        </w:rPr>
      </w:pPr>
      <w:r>
        <w:rPr>
          <w:rFonts w:ascii="Calibri" w:hAnsi="Calibri" w:cs="Calibri"/>
        </w:rPr>
        <w:t>L</w:t>
      </w:r>
      <w:r w:rsidR="00166315">
        <w:rPr>
          <w:rFonts w:ascii="Calibri" w:hAnsi="Calibri" w:cs="Calibri"/>
        </w:rPr>
        <w:t xml:space="preserve">a séquence commençant par la rifampicine aurait nécessité un </w:t>
      </w:r>
      <w:r w:rsidR="006048A8">
        <w:rPr>
          <w:rFonts w:ascii="Calibri" w:hAnsi="Calibri" w:cs="Calibri"/>
        </w:rPr>
        <w:t>« </w:t>
      </w:r>
      <w:proofErr w:type="spellStart"/>
      <w:r w:rsidR="00166315">
        <w:rPr>
          <w:rFonts w:ascii="Calibri" w:hAnsi="Calibri" w:cs="Calibri"/>
        </w:rPr>
        <w:t>wash</w:t>
      </w:r>
      <w:proofErr w:type="spellEnd"/>
      <w:r w:rsidR="00166315">
        <w:rPr>
          <w:rFonts w:ascii="Calibri" w:hAnsi="Calibri" w:cs="Calibri"/>
        </w:rPr>
        <w:t xml:space="preserve"> out</w:t>
      </w:r>
      <w:r w:rsidR="006048A8">
        <w:rPr>
          <w:rFonts w:ascii="Calibri" w:hAnsi="Calibri" w:cs="Calibri"/>
        </w:rPr>
        <w:t> »</w:t>
      </w:r>
      <w:bookmarkStart w:id="0" w:name="_GoBack"/>
      <w:bookmarkEnd w:id="0"/>
      <w:r w:rsidR="00166315">
        <w:rPr>
          <w:rFonts w:ascii="Calibri" w:hAnsi="Calibri" w:cs="Calibri"/>
        </w:rPr>
        <w:t xml:space="preserve"> plus long pour être certain que son effet inducteur enzymatique est totalement disparu (sans moyen d’ailleurs de le vérifier). Le risque est d’avoir un effet séquence qui représenterait alors un facteur de confusion avec celui à étudier : effet inducteur de la rifampicine.</w:t>
      </w:r>
    </w:p>
    <w:p w:rsidR="006C6EC7" w:rsidRPr="005064D3" w:rsidRDefault="006C6EC7" w:rsidP="006C6EC7">
      <w:pPr>
        <w:spacing w:after="0" w:line="240" w:lineRule="auto"/>
        <w:ind w:left="1440"/>
        <w:jc w:val="both"/>
        <w:rPr>
          <w:rFonts w:ascii="Calibri" w:hAnsi="Calibri" w:cs="Calibri"/>
        </w:rPr>
      </w:pPr>
    </w:p>
    <w:p w:rsidR="006C6EC7" w:rsidRDefault="006C6EC7" w:rsidP="006C6EC7">
      <w:pPr>
        <w:numPr>
          <w:ilvl w:val="0"/>
          <w:numId w:val="2"/>
        </w:numPr>
        <w:spacing w:after="0" w:line="240" w:lineRule="auto"/>
        <w:jc w:val="both"/>
        <w:rPr>
          <w:rFonts w:ascii="Calibri" w:hAnsi="Calibri" w:cs="Calibri"/>
        </w:rPr>
      </w:pPr>
      <w:r>
        <w:rPr>
          <w:rFonts w:ascii="Calibri" w:hAnsi="Calibri" w:cs="Calibri"/>
        </w:rPr>
        <w:t>Détermination des paramètres pharmacocinétiques :</w:t>
      </w:r>
    </w:p>
    <w:p w:rsidR="006C6EC7" w:rsidRDefault="00727185" w:rsidP="006C6EC7">
      <w:pPr>
        <w:numPr>
          <w:ilvl w:val="1"/>
          <w:numId w:val="2"/>
        </w:numPr>
        <w:spacing w:after="0" w:line="240" w:lineRule="auto"/>
        <w:jc w:val="both"/>
        <w:rPr>
          <w:rFonts w:ascii="Calibri" w:hAnsi="Calibri" w:cs="Calibri"/>
        </w:rPr>
      </w:pPr>
      <w:r>
        <w:rPr>
          <w:rFonts w:ascii="Calibri" w:hAnsi="Calibri" w:cs="Calibri"/>
        </w:rPr>
        <w:t>L</w:t>
      </w:r>
      <w:r w:rsidR="006C6EC7">
        <w:rPr>
          <w:rFonts w:ascii="Calibri" w:hAnsi="Calibri" w:cs="Calibri"/>
        </w:rPr>
        <w:t>e nombre important de prélèvements sanguins</w:t>
      </w:r>
      <w:r w:rsidR="006C6EC7" w:rsidRPr="003040C5">
        <w:rPr>
          <w:rFonts w:ascii="Calibri" w:hAnsi="Calibri" w:cs="Calibri"/>
        </w:rPr>
        <w:t xml:space="preserve"> </w:t>
      </w:r>
      <w:r>
        <w:rPr>
          <w:rFonts w:ascii="Calibri" w:hAnsi="Calibri" w:cs="Calibri"/>
        </w:rPr>
        <w:t>permettra de</w:t>
      </w:r>
      <w:r w:rsidR="006C6EC7" w:rsidRPr="003040C5">
        <w:rPr>
          <w:rFonts w:ascii="Calibri" w:hAnsi="Calibri" w:cs="Calibri"/>
        </w:rPr>
        <w:t xml:space="preserve"> calcul</w:t>
      </w:r>
      <w:r>
        <w:rPr>
          <w:rFonts w:ascii="Calibri" w:hAnsi="Calibri" w:cs="Calibri"/>
        </w:rPr>
        <w:t>er</w:t>
      </w:r>
      <w:r w:rsidR="006C6EC7">
        <w:rPr>
          <w:rFonts w:ascii="Calibri" w:hAnsi="Calibri" w:cs="Calibri"/>
        </w:rPr>
        <w:t xml:space="preserve"> l’AUC </w:t>
      </w:r>
      <w:r>
        <w:rPr>
          <w:rFonts w:ascii="Calibri" w:hAnsi="Calibri" w:cs="Calibri"/>
        </w:rPr>
        <w:t>par la méthode des trapèzes (méthodes modèle-indépendante).</w:t>
      </w:r>
    </w:p>
    <w:p w:rsidR="00727185" w:rsidRDefault="00727185" w:rsidP="00727185">
      <w:pPr>
        <w:numPr>
          <w:ilvl w:val="1"/>
          <w:numId w:val="2"/>
        </w:numPr>
        <w:spacing w:after="0" w:line="240" w:lineRule="auto"/>
        <w:jc w:val="both"/>
        <w:rPr>
          <w:rFonts w:ascii="Calibri" w:hAnsi="Calibri" w:cs="Calibri"/>
        </w:rPr>
      </w:pPr>
      <w:r>
        <w:rPr>
          <w:rFonts w:ascii="Calibri" w:hAnsi="Calibri" w:cs="Calibri"/>
        </w:rPr>
        <w:t>Estimation graphique</w:t>
      </w:r>
      <w:r w:rsidR="006C6EC7">
        <w:rPr>
          <w:rFonts w:ascii="Calibri" w:hAnsi="Calibri" w:cs="Calibri"/>
        </w:rPr>
        <w:t xml:space="preserve"> la demi-vie</w:t>
      </w:r>
      <w:r>
        <w:rPr>
          <w:rFonts w:ascii="Calibri" w:hAnsi="Calibri" w:cs="Calibri"/>
        </w:rPr>
        <w:t xml:space="preserve"> d’élimination du </w:t>
      </w:r>
      <w:proofErr w:type="spellStart"/>
      <w:r>
        <w:rPr>
          <w:rFonts w:ascii="Calibri" w:hAnsi="Calibri" w:cs="Calibri"/>
        </w:rPr>
        <w:t>cabozantinib</w:t>
      </w:r>
      <w:proofErr w:type="spellEnd"/>
      <w:r>
        <w:rPr>
          <w:rFonts w:ascii="Calibri" w:hAnsi="Calibri" w:cs="Calibri"/>
        </w:rPr>
        <w:t xml:space="preserve"> </w:t>
      </w:r>
      <w:r w:rsidR="006C6EC7">
        <w:rPr>
          <w:rFonts w:ascii="Calibri" w:hAnsi="Calibri" w:cs="Calibri"/>
        </w:rPr>
        <w:t xml:space="preserve">en </w:t>
      </w:r>
      <w:r>
        <w:rPr>
          <w:rFonts w:ascii="Calibri" w:hAnsi="Calibri" w:cs="Calibri"/>
        </w:rPr>
        <w:t xml:space="preserve">présence de rifampicine : 10 </w:t>
      </w:r>
      <w:proofErr w:type="spellStart"/>
      <w:r>
        <w:rPr>
          <w:rFonts w:ascii="Calibri" w:hAnsi="Calibri" w:cs="Calibri"/>
        </w:rPr>
        <w:t>ng</w:t>
      </w:r>
      <w:proofErr w:type="spellEnd"/>
      <w:r>
        <w:rPr>
          <w:rFonts w:ascii="Calibri" w:hAnsi="Calibri" w:cs="Calibri"/>
        </w:rPr>
        <w:t>/</w:t>
      </w:r>
      <w:proofErr w:type="spellStart"/>
      <w:r>
        <w:rPr>
          <w:rFonts w:ascii="Calibri" w:hAnsi="Calibri" w:cs="Calibri"/>
        </w:rPr>
        <w:t>mL</w:t>
      </w:r>
      <w:proofErr w:type="spellEnd"/>
      <w:r>
        <w:rPr>
          <w:rFonts w:ascii="Calibri" w:hAnsi="Calibri" w:cs="Calibri"/>
        </w:rPr>
        <w:t xml:space="preserve"> correspond au temps </w:t>
      </w:r>
      <w:r>
        <w:rPr>
          <w:rFonts w:ascii="Calibri" w:hAnsi="Calibri" w:cs="Calibri"/>
        </w:rPr>
        <w:sym w:font="Symbol" w:char="F040"/>
      </w:r>
      <w:r>
        <w:rPr>
          <w:rFonts w:ascii="Calibri" w:hAnsi="Calibri" w:cs="Calibri"/>
        </w:rPr>
        <w:t xml:space="preserve"> 120 </w:t>
      </w:r>
      <w:proofErr w:type="spellStart"/>
      <w:r>
        <w:rPr>
          <w:rFonts w:ascii="Calibri" w:hAnsi="Calibri" w:cs="Calibri"/>
        </w:rPr>
        <w:t>hrs</w:t>
      </w:r>
      <w:proofErr w:type="spellEnd"/>
      <w:r>
        <w:rPr>
          <w:rFonts w:ascii="Calibri" w:hAnsi="Calibri" w:cs="Calibri"/>
        </w:rPr>
        <w:t xml:space="preserve"> ; 0,1 </w:t>
      </w:r>
      <w:proofErr w:type="spellStart"/>
      <w:r>
        <w:rPr>
          <w:rFonts w:ascii="Calibri" w:hAnsi="Calibri" w:cs="Calibri"/>
        </w:rPr>
        <w:t>ng</w:t>
      </w:r>
      <w:proofErr w:type="spellEnd"/>
      <w:r>
        <w:rPr>
          <w:rFonts w:ascii="Calibri" w:hAnsi="Calibri" w:cs="Calibri"/>
        </w:rPr>
        <w:t>/</w:t>
      </w:r>
      <w:proofErr w:type="spellStart"/>
      <w:r>
        <w:rPr>
          <w:rFonts w:ascii="Calibri" w:hAnsi="Calibri" w:cs="Calibri"/>
        </w:rPr>
        <w:t>mL</w:t>
      </w:r>
      <w:proofErr w:type="spellEnd"/>
      <w:r>
        <w:rPr>
          <w:rFonts w:ascii="Calibri" w:hAnsi="Calibri" w:cs="Calibri"/>
        </w:rPr>
        <w:t xml:space="preserve"> au temps 300 </w:t>
      </w:r>
      <w:proofErr w:type="spellStart"/>
      <w:r>
        <w:rPr>
          <w:rFonts w:ascii="Calibri" w:hAnsi="Calibri" w:cs="Calibri"/>
        </w:rPr>
        <w:t>hrs</w:t>
      </w:r>
      <w:proofErr w:type="spellEnd"/>
      <w:r>
        <w:rPr>
          <w:rFonts w:ascii="Calibri" w:hAnsi="Calibri" w:cs="Calibri"/>
        </w:rPr>
        <w:t xml:space="preserve"> : 0,1 = </w:t>
      </w:r>
      <w:proofErr w:type="gramStart"/>
      <w:r>
        <w:rPr>
          <w:rFonts w:ascii="Calibri" w:hAnsi="Calibri" w:cs="Calibri"/>
        </w:rPr>
        <w:t>10 .</w:t>
      </w:r>
      <w:proofErr w:type="gramEnd"/>
      <w:r>
        <w:rPr>
          <w:rFonts w:ascii="Calibri" w:hAnsi="Calibri" w:cs="Calibri"/>
        </w:rPr>
        <w:t xml:space="preserve"> </w:t>
      </w:r>
      <w:proofErr w:type="spellStart"/>
      <w:proofErr w:type="gramStart"/>
      <w:r>
        <w:rPr>
          <w:rFonts w:ascii="Calibri" w:hAnsi="Calibri" w:cs="Calibri"/>
        </w:rPr>
        <w:t>exp</w:t>
      </w:r>
      <w:proofErr w:type="spellEnd"/>
      <w:r>
        <w:rPr>
          <w:rFonts w:ascii="Calibri" w:hAnsi="Calibri" w:cs="Calibri"/>
        </w:rPr>
        <w:t>[</w:t>
      </w:r>
      <w:proofErr w:type="gramEnd"/>
      <w:r>
        <w:rPr>
          <w:rFonts w:ascii="Calibri" w:hAnsi="Calibri" w:cs="Calibri"/>
        </w:rPr>
        <w:t>-k(300 – 120)]</w:t>
      </w:r>
      <w:r w:rsidR="009368C4">
        <w:rPr>
          <w:rFonts w:ascii="Calibri" w:hAnsi="Calibri" w:cs="Calibri"/>
        </w:rPr>
        <w:t> ; k = 4,6 / 180 ; T1/2 = 27 h</w:t>
      </w:r>
    </w:p>
    <w:p w:rsidR="006C6EC7" w:rsidRPr="00727185" w:rsidRDefault="006C6EC7" w:rsidP="00727185">
      <w:pPr>
        <w:numPr>
          <w:ilvl w:val="1"/>
          <w:numId w:val="2"/>
        </w:numPr>
        <w:spacing w:after="0" w:line="240" w:lineRule="auto"/>
        <w:jc w:val="both"/>
        <w:rPr>
          <w:rFonts w:ascii="Calibri" w:hAnsi="Calibri" w:cs="Calibri"/>
        </w:rPr>
      </w:pPr>
      <w:r w:rsidRPr="00727185">
        <w:rPr>
          <w:rFonts w:ascii="Calibri" w:hAnsi="Calibri" w:cs="Calibri"/>
        </w:rPr>
        <w:t>CL/F</w:t>
      </w:r>
      <w:r w:rsidR="00AC115A">
        <w:rPr>
          <w:rFonts w:ascii="Calibri" w:hAnsi="Calibri" w:cs="Calibri"/>
        </w:rPr>
        <w:t xml:space="preserve"> = Dose/AUC</w:t>
      </w:r>
    </w:p>
    <w:p w:rsidR="006C6EC7" w:rsidRPr="005064D3" w:rsidRDefault="006C6EC7" w:rsidP="006C6EC7">
      <w:pPr>
        <w:spacing w:after="0" w:line="240" w:lineRule="auto"/>
        <w:ind w:left="1440"/>
        <w:jc w:val="both"/>
        <w:rPr>
          <w:rFonts w:ascii="Calibri" w:hAnsi="Calibri" w:cs="Calibri"/>
        </w:rPr>
      </w:pPr>
    </w:p>
    <w:p w:rsidR="006C6EC7" w:rsidRDefault="00096743" w:rsidP="006C6EC7">
      <w:pPr>
        <w:numPr>
          <w:ilvl w:val="0"/>
          <w:numId w:val="2"/>
        </w:numPr>
        <w:spacing w:after="0" w:line="240" w:lineRule="auto"/>
        <w:jc w:val="both"/>
        <w:rPr>
          <w:rFonts w:ascii="Calibri" w:hAnsi="Calibri" w:cs="Calibri"/>
        </w:rPr>
      </w:pPr>
      <w:r>
        <w:rPr>
          <w:rFonts w:ascii="Calibri" w:hAnsi="Calibri" w:cs="Calibri"/>
        </w:rPr>
        <w:t xml:space="preserve">La CL orale (CL/F) est multipliée par près de 4 sous rifampicine, alors que la T1/2 est à peu 4 fois plus courte, donc </w:t>
      </w:r>
      <w:proofErr w:type="spellStart"/>
      <w:r>
        <w:rPr>
          <w:rFonts w:ascii="Calibri" w:hAnsi="Calibri" w:cs="Calibri"/>
        </w:rPr>
        <w:t>Vd</w:t>
      </w:r>
      <w:proofErr w:type="spellEnd"/>
      <w:r>
        <w:rPr>
          <w:rFonts w:ascii="Calibri" w:hAnsi="Calibri" w:cs="Calibri"/>
        </w:rPr>
        <w:t>/F n’est pas modifié.</w:t>
      </w:r>
    </w:p>
    <w:p w:rsidR="006C6EC7" w:rsidRDefault="006C6EC7" w:rsidP="006C6EC7">
      <w:pPr>
        <w:spacing w:after="0" w:line="240" w:lineRule="auto"/>
        <w:jc w:val="both"/>
        <w:rPr>
          <w:rFonts w:ascii="Calibri" w:hAnsi="Calibri" w:cs="Calibri"/>
        </w:rPr>
      </w:pPr>
    </w:p>
    <w:p w:rsidR="002D26D8" w:rsidRPr="002D26D8" w:rsidRDefault="00931DF2" w:rsidP="002D26D8">
      <w:pPr>
        <w:numPr>
          <w:ilvl w:val="0"/>
          <w:numId w:val="2"/>
        </w:numPr>
        <w:spacing w:after="0" w:line="240" w:lineRule="auto"/>
        <w:jc w:val="both"/>
        <w:rPr>
          <w:rFonts w:ascii="Calibri" w:hAnsi="Calibri" w:cs="Calibri"/>
        </w:rPr>
      </w:pPr>
      <w:r>
        <w:rPr>
          <w:rFonts w:ascii="Calibri" w:hAnsi="Calibri" w:cs="Calibri"/>
        </w:rPr>
        <w:t xml:space="preserve">Un faisceau d’arguments permet de conclure que </w:t>
      </w:r>
      <w:r w:rsidR="006C6EC7">
        <w:rPr>
          <w:rFonts w:ascii="Calibri" w:hAnsi="Calibri" w:cs="Calibri"/>
        </w:rPr>
        <w:t>l’effet de premier passage hépatique</w:t>
      </w:r>
      <w:r w:rsidR="006C6EC7" w:rsidRPr="009B4485">
        <w:rPr>
          <w:rFonts w:ascii="Calibri" w:hAnsi="Calibri" w:cs="Calibri"/>
        </w:rPr>
        <w:t xml:space="preserve"> </w:t>
      </w:r>
      <w:r>
        <w:rPr>
          <w:rFonts w:ascii="Calibri" w:hAnsi="Calibri" w:cs="Calibri"/>
        </w:rPr>
        <w:t xml:space="preserve">du </w:t>
      </w:r>
      <w:proofErr w:type="spellStart"/>
      <w:r>
        <w:rPr>
          <w:rFonts w:ascii="Calibri" w:hAnsi="Calibri" w:cs="Calibri"/>
        </w:rPr>
        <w:t>cabozantinib</w:t>
      </w:r>
      <w:proofErr w:type="spellEnd"/>
      <w:r>
        <w:rPr>
          <w:rFonts w:ascii="Calibri" w:hAnsi="Calibri" w:cs="Calibri"/>
        </w:rPr>
        <w:t xml:space="preserve"> est</w:t>
      </w:r>
      <w:r w:rsidR="002D26D8">
        <w:rPr>
          <w:rFonts w:ascii="Calibri" w:hAnsi="Calibri" w:cs="Calibri"/>
        </w:rPr>
        <w:t xml:space="preserve"> faible : Quand un médicament présente un fort coefficient d’extraction hépatique, </w:t>
      </w:r>
      <w:r w:rsidR="002D26D8" w:rsidRPr="002D26D8">
        <w:rPr>
          <w:rFonts w:ascii="Calibri" w:hAnsi="Calibri" w:cs="Calibri"/>
        </w:rPr>
        <w:t xml:space="preserve">la fraction de la dose de médicament administrée éliminée sous forme inchangée dans les urines est extrêmement faible (et ce d’autant plus que le médicament est administré par voie orale) ; </w:t>
      </w:r>
      <w:r w:rsidR="002D26D8">
        <w:rPr>
          <w:rFonts w:ascii="Calibri" w:hAnsi="Calibri" w:cs="Calibri"/>
        </w:rPr>
        <w:t xml:space="preserve">or, </w:t>
      </w:r>
      <w:r w:rsidR="002D26D8" w:rsidRPr="002D26D8">
        <w:rPr>
          <w:rFonts w:ascii="Calibri" w:hAnsi="Calibri" w:cs="Calibri"/>
        </w:rPr>
        <w:t>la valeur de 27% n’e</w:t>
      </w:r>
      <w:r w:rsidR="002D26D8">
        <w:rPr>
          <w:rFonts w:ascii="Calibri" w:hAnsi="Calibri" w:cs="Calibri"/>
        </w:rPr>
        <w:t>st pas « extrêmement faible ». Fort EH est associé à demi-vie</w:t>
      </w:r>
      <w:r w:rsidR="002D26D8" w:rsidRPr="002D26D8">
        <w:rPr>
          <w:rFonts w:ascii="Calibri" w:hAnsi="Calibri" w:cs="Calibri"/>
        </w:rPr>
        <w:t xml:space="preserve"> </w:t>
      </w:r>
      <w:r w:rsidR="002D26D8">
        <w:rPr>
          <w:rFonts w:ascii="Calibri" w:hAnsi="Calibri" w:cs="Calibri"/>
        </w:rPr>
        <w:t>courte</w:t>
      </w:r>
      <w:r w:rsidR="002D26D8" w:rsidRPr="002D26D8">
        <w:rPr>
          <w:rFonts w:ascii="Calibri" w:hAnsi="Calibri" w:cs="Calibri"/>
        </w:rPr>
        <w:t xml:space="preserve"> (alors qu’elle est de</w:t>
      </w:r>
      <w:r w:rsidR="002D26D8">
        <w:rPr>
          <w:rFonts w:ascii="Calibri" w:hAnsi="Calibri" w:cs="Calibri"/>
        </w:rPr>
        <w:t xml:space="preserve"> 111 </w:t>
      </w:r>
      <w:proofErr w:type="spellStart"/>
      <w:r w:rsidR="002D26D8">
        <w:rPr>
          <w:rFonts w:ascii="Calibri" w:hAnsi="Calibri" w:cs="Calibri"/>
        </w:rPr>
        <w:t>hrs</w:t>
      </w:r>
      <w:proofErr w:type="spellEnd"/>
      <w:r w:rsidR="002D26D8">
        <w:rPr>
          <w:rFonts w:ascii="Calibri" w:hAnsi="Calibri" w:cs="Calibri"/>
        </w:rPr>
        <w:t xml:space="preserve"> pour la </w:t>
      </w:r>
      <w:proofErr w:type="spellStart"/>
      <w:r w:rsidR="002D26D8">
        <w:rPr>
          <w:rFonts w:ascii="Calibri" w:hAnsi="Calibri" w:cs="Calibri"/>
        </w:rPr>
        <w:t>cabozantinib</w:t>
      </w:r>
      <w:proofErr w:type="spellEnd"/>
      <w:r w:rsidR="002D26D8">
        <w:rPr>
          <w:rFonts w:ascii="Calibri" w:hAnsi="Calibri" w:cs="Calibri"/>
        </w:rPr>
        <w:t xml:space="preserve">). De plus, </w:t>
      </w:r>
      <w:r w:rsidR="002D26D8" w:rsidRPr="002D26D8">
        <w:rPr>
          <w:rFonts w:ascii="Calibri" w:hAnsi="Calibri" w:cs="Calibri"/>
        </w:rPr>
        <w:t xml:space="preserve"> si le coefficient d’extraction hépatique du </w:t>
      </w:r>
      <w:proofErr w:type="spellStart"/>
      <w:r w:rsidR="002D26D8" w:rsidRPr="002D26D8">
        <w:rPr>
          <w:rFonts w:ascii="Calibri" w:hAnsi="Calibri" w:cs="Calibri"/>
        </w:rPr>
        <w:t>cabozantinib</w:t>
      </w:r>
      <w:proofErr w:type="spellEnd"/>
      <w:r w:rsidR="002D26D8" w:rsidRPr="002D26D8">
        <w:rPr>
          <w:rFonts w:ascii="Calibri" w:hAnsi="Calibri" w:cs="Calibri"/>
        </w:rPr>
        <w:t xml:space="preserve"> était important, il limiterait sa biodisponibilité par voie orale et celle-ci serait significativement diminuée par la rifampicine et impacterait donc sur la partie initiale de la courbe des concentrations en fonction du temps (en particulier sur la v</w:t>
      </w:r>
      <w:r w:rsidR="002D26D8">
        <w:rPr>
          <w:rFonts w:ascii="Calibri" w:hAnsi="Calibri" w:cs="Calibri"/>
        </w:rPr>
        <w:t xml:space="preserve">aleur du </w:t>
      </w:r>
      <w:proofErr w:type="spellStart"/>
      <w:r w:rsidR="002D26D8">
        <w:rPr>
          <w:rFonts w:ascii="Calibri" w:hAnsi="Calibri" w:cs="Calibri"/>
        </w:rPr>
        <w:t>C</w:t>
      </w:r>
      <w:r w:rsidR="002D26D8" w:rsidRPr="002D26D8">
        <w:rPr>
          <w:rFonts w:ascii="Calibri" w:hAnsi="Calibri" w:cs="Calibri"/>
        </w:rPr>
        <w:t>max</w:t>
      </w:r>
      <w:proofErr w:type="spellEnd"/>
      <w:r w:rsidR="002D26D8" w:rsidRPr="002D26D8">
        <w:rPr>
          <w:rFonts w:ascii="Calibri" w:hAnsi="Calibri" w:cs="Calibri"/>
        </w:rPr>
        <w:t xml:space="preserve">) qui n’est </w:t>
      </w:r>
      <w:proofErr w:type="spellStart"/>
      <w:r w:rsidR="002D26D8" w:rsidRPr="002D26D8">
        <w:rPr>
          <w:rFonts w:ascii="Calibri" w:hAnsi="Calibri" w:cs="Calibri"/>
        </w:rPr>
        <w:t>visis</w:t>
      </w:r>
      <w:r w:rsidR="002D26D8">
        <w:rPr>
          <w:rFonts w:ascii="Calibri" w:hAnsi="Calibri" w:cs="Calibri"/>
        </w:rPr>
        <w:t>i</w:t>
      </w:r>
      <w:r w:rsidR="002D26D8" w:rsidRPr="002D26D8">
        <w:rPr>
          <w:rFonts w:ascii="Calibri" w:hAnsi="Calibri" w:cs="Calibri"/>
        </w:rPr>
        <w:t>blement</w:t>
      </w:r>
      <w:proofErr w:type="spellEnd"/>
      <w:r w:rsidR="002D26D8" w:rsidRPr="002D26D8">
        <w:rPr>
          <w:rFonts w:ascii="Calibri" w:hAnsi="Calibri" w:cs="Calibri"/>
        </w:rPr>
        <w:t xml:space="preserve"> que très peu modifiée (voir graphique)</w:t>
      </w:r>
      <w:r w:rsidR="002D26D8">
        <w:rPr>
          <w:rFonts w:ascii="Calibri" w:hAnsi="Calibri" w:cs="Calibri"/>
        </w:rPr>
        <w:t>. E</w:t>
      </w:r>
      <w:r w:rsidR="002D26D8" w:rsidRPr="002D26D8">
        <w:rPr>
          <w:rFonts w:ascii="Calibri" w:hAnsi="Calibri" w:cs="Calibri"/>
        </w:rPr>
        <w:t xml:space="preserve">nfin : </w:t>
      </w:r>
      <w:proofErr w:type="spellStart"/>
      <w:r w:rsidR="002D26D8" w:rsidRPr="002D26D8">
        <w:rPr>
          <w:rFonts w:ascii="Calibri" w:hAnsi="Calibri" w:cs="Calibri"/>
        </w:rPr>
        <w:t>Vd</w:t>
      </w:r>
      <w:proofErr w:type="spellEnd"/>
      <w:r w:rsidR="002D26D8" w:rsidRPr="002D26D8">
        <w:rPr>
          <w:rFonts w:ascii="Calibri" w:hAnsi="Calibri" w:cs="Calibri"/>
        </w:rPr>
        <w:t xml:space="preserve">/F n’est pas modifié ; considérant qu’il n’y a aucune raison pour que la rifampicine modifie l’ampleur de la distribution du </w:t>
      </w:r>
      <w:proofErr w:type="spellStart"/>
      <w:r w:rsidR="002D26D8" w:rsidRPr="002D26D8">
        <w:rPr>
          <w:rFonts w:ascii="Calibri" w:hAnsi="Calibri" w:cs="Calibri"/>
        </w:rPr>
        <w:t>cabozantinib</w:t>
      </w:r>
      <w:proofErr w:type="spellEnd"/>
      <w:r w:rsidR="002D26D8" w:rsidRPr="002D26D8">
        <w:rPr>
          <w:rFonts w:ascii="Calibri" w:hAnsi="Calibri" w:cs="Calibri"/>
        </w:rPr>
        <w:t xml:space="preserve"> (donc </w:t>
      </w:r>
      <w:proofErr w:type="spellStart"/>
      <w:r w:rsidR="002D26D8" w:rsidRPr="002D26D8">
        <w:rPr>
          <w:rFonts w:ascii="Calibri" w:hAnsi="Calibri" w:cs="Calibri"/>
        </w:rPr>
        <w:t>Vd</w:t>
      </w:r>
      <w:proofErr w:type="spellEnd"/>
      <w:r w:rsidR="002D26D8" w:rsidRPr="002D26D8">
        <w:rPr>
          <w:rFonts w:ascii="Calibri" w:hAnsi="Calibri" w:cs="Calibri"/>
        </w:rPr>
        <w:t xml:space="preserve"> inchangé), F n’est donc pas modifié, confirmant bien que EH doit être négligeable.</w:t>
      </w:r>
    </w:p>
    <w:p w:rsidR="002D26D8" w:rsidRPr="003040C5" w:rsidRDefault="002D26D8" w:rsidP="002D26D8">
      <w:pPr>
        <w:jc w:val="both"/>
        <w:rPr>
          <w:rFonts w:ascii="Calibri" w:hAnsi="Calibri" w:cs="Calibri"/>
        </w:rPr>
      </w:pPr>
    </w:p>
    <w:p w:rsidR="002D26D8" w:rsidRPr="002D26D8" w:rsidRDefault="002D26D8" w:rsidP="002D26D8">
      <w:pPr>
        <w:pStyle w:val="Paragraphedeliste"/>
        <w:numPr>
          <w:ilvl w:val="0"/>
          <w:numId w:val="2"/>
        </w:numPr>
        <w:spacing w:after="0" w:line="240" w:lineRule="auto"/>
        <w:jc w:val="both"/>
        <w:rPr>
          <w:rFonts w:cs="Calibri"/>
        </w:rPr>
      </w:pPr>
      <w:r w:rsidRPr="002D26D8">
        <w:rPr>
          <w:rFonts w:cs="Calibri"/>
        </w:rPr>
        <w:t>Sachant que ce médicament est éliminé principalement par métabolisme hépatique :</w:t>
      </w:r>
    </w:p>
    <w:p w:rsidR="002D26D8" w:rsidRDefault="002D26D8" w:rsidP="002D26D8">
      <w:pPr>
        <w:numPr>
          <w:ilvl w:val="0"/>
          <w:numId w:val="3"/>
        </w:numPr>
        <w:spacing w:after="0" w:line="240" w:lineRule="auto"/>
        <w:jc w:val="both"/>
        <w:rPr>
          <w:rFonts w:ascii="Calibri" w:hAnsi="Calibri" w:cs="Calibri"/>
        </w:rPr>
      </w:pPr>
      <w:r>
        <w:rPr>
          <w:rFonts w:ascii="Calibri" w:hAnsi="Calibri" w:cs="Calibri"/>
        </w:rPr>
        <w:t>si EH faible (par rapport au débit de sanguin hépatique), il s’agit d’un médicament à faible clairance hépatique</w:t>
      </w:r>
    </w:p>
    <w:p w:rsidR="002D26D8" w:rsidRDefault="002D26D8" w:rsidP="002D26D8">
      <w:pPr>
        <w:numPr>
          <w:ilvl w:val="0"/>
          <w:numId w:val="3"/>
        </w:numPr>
        <w:spacing w:after="0" w:line="240" w:lineRule="auto"/>
        <w:jc w:val="both"/>
        <w:rPr>
          <w:rFonts w:ascii="Calibri" w:hAnsi="Calibri" w:cs="Calibri"/>
        </w:rPr>
      </w:pPr>
      <w:r>
        <w:rPr>
          <w:rFonts w:ascii="Calibri" w:hAnsi="Calibri" w:cs="Calibri"/>
        </w:rPr>
        <w:lastRenderedPageBreak/>
        <w:t xml:space="preserve">Oui, CL </w:t>
      </w:r>
      <w:r>
        <w:rPr>
          <w:rFonts w:ascii="Calibri" w:hAnsi="Calibri" w:cs="Calibri"/>
        </w:rPr>
        <w:sym w:font="Symbol" w:char="F040"/>
      </w:r>
      <w:r>
        <w:rPr>
          <w:rFonts w:ascii="Calibri" w:hAnsi="Calibri" w:cs="Calibri"/>
        </w:rPr>
        <w:t xml:space="preserve"> </w:t>
      </w:r>
      <w:proofErr w:type="spellStart"/>
      <w:proofErr w:type="gramStart"/>
      <w:r>
        <w:rPr>
          <w:rFonts w:ascii="Calibri" w:hAnsi="Calibri" w:cs="Calibri"/>
        </w:rPr>
        <w:t>fu</w:t>
      </w:r>
      <w:proofErr w:type="spellEnd"/>
      <w:r>
        <w:rPr>
          <w:rFonts w:ascii="Calibri" w:hAnsi="Calibri" w:cs="Calibri"/>
        </w:rPr>
        <w:t xml:space="preserve"> .</w:t>
      </w:r>
      <w:proofErr w:type="gramEnd"/>
      <w:r>
        <w:rPr>
          <w:rFonts w:ascii="Calibri" w:hAnsi="Calibri" w:cs="Calibri"/>
        </w:rPr>
        <w:t xml:space="preserve"> </w:t>
      </w:r>
      <w:proofErr w:type="spellStart"/>
      <w:r>
        <w:rPr>
          <w:rFonts w:ascii="Calibri" w:hAnsi="Calibri" w:cs="Calibri"/>
        </w:rPr>
        <w:t>CLint</w:t>
      </w:r>
      <w:proofErr w:type="spellEnd"/>
    </w:p>
    <w:p w:rsidR="002D26D8" w:rsidRDefault="002D26D8" w:rsidP="002D26D8">
      <w:pPr>
        <w:numPr>
          <w:ilvl w:val="0"/>
          <w:numId w:val="3"/>
        </w:numPr>
        <w:spacing w:after="0" w:line="240" w:lineRule="auto"/>
        <w:jc w:val="both"/>
        <w:rPr>
          <w:rFonts w:ascii="Calibri" w:hAnsi="Calibri" w:cs="Calibri"/>
        </w:rPr>
      </w:pPr>
      <w:r>
        <w:rPr>
          <w:rFonts w:ascii="Calibri" w:hAnsi="Calibri" w:cs="Calibri"/>
        </w:rPr>
        <w:t xml:space="preserve">si </w:t>
      </w:r>
      <w:proofErr w:type="spellStart"/>
      <w:r>
        <w:rPr>
          <w:rFonts w:ascii="Calibri" w:hAnsi="Calibri" w:cs="Calibri"/>
        </w:rPr>
        <w:t>fu</w:t>
      </w:r>
      <w:proofErr w:type="spellEnd"/>
      <w:r>
        <w:rPr>
          <w:rFonts w:ascii="Calibri" w:hAnsi="Calibri" w:cs="Calibri"/>
        </w:rPr>
        <w:t xml:space="preserve"> change, CL variera de façon proportionnelle à </w:t>
      </w:r>
      <w:proofErr w:type="spellStart"/>
      <w:r>
        <w:rPr>
          <w:rFonts w:ascii="Calibri" w:hAnsi="Calibri" w:cs="Calibri"/>
        </w:rPr>
        <w:t>fu</w:t>
      </w:r>
      <w:proofErr w:type="spellEnd"/>
      <w:r>
        <w:rPr>
          <w:rFonts w:ascii="Calibri" w:hAnsi="Calibri" w:cs="Calibri"/>
        </w:rPr>
        <w:t xml:space="preserve"> (voie ci-dessus) ; ce sera également le cas du </w:t>
      </w:r>
      <w:proofErr w:type="spellStart"/>
      <w:r>
        <w:rPr>
          <w:rFonts w:ascii="Calibri" w:hAnsi="Calibri" w:cs="Calibri"/>
        </w:rPr>
        <w:t>Vd</w:t>
      </w:r>
      <w:proofErr w:type="spellEnd"/>
      <w:r>
        <w:rPr>
          <w:rFonts w:ascii="Calibri" w:hAnsi="Calibri" w:cs="Calibri"/>
        </w:rPr>
        <w:t xml:space="preserve"> car celui du </w:t>
      </w:r>
      <w:proofErr w:type="spellStart"/>
      <w:r>
        <w:rPr>
          <w:rFonts w:ascii="Calibri" w:hAnsi="Calibri" w:cs="Calibri"/>
        </w:rPr>
        <w:t>cabozantinib</w:t>
      </w:r>
      <w:proofErr w:type="spellEnd"/>
      <w:r>
        <w:rPr>
          <w:rFonts w:ascii="Calibri" w:hAnsi="Calibri" w:cs="Calibri"/>
        </w:rPr>
        <w:t xml:space="preserve"> est très supérieur à celui du volume du plasma ; donc la T1/2 ne variera pas.</w:t>
      </w:r>
    </w:p>
    <w:p w:rsidR="002D26D8" w:rsidRPr="000E460D" w:rsidRDefault="002D26D8" w:rsidP="002D26D8">
      <w:pPr>
        <w:spacing w:after="0" w:line="240" w:lineRule="auto"/>
        <w:ind w:left="1440"/>
        <w:jc w:val="both"/>
        <w:rPr>
          <w:rFonts w:ascii="Calibri" w:hAnsi="Calibri" w:cs="Calibri"/>
        </w:rPr>
      </w:pPr>
    </w:p>
    <w:p w:rsidR="002D26D8" w:rsidRPr="00985605" w:rsidRDefault="002D26D8" w:rsidP="002D26D8">
      <w:pPr>
        <w:numPr>
          <w:ilvl w:val="0"/>
          <w:numId w:val="2"/>
        </w:numPr>
        <w:spacing w:after="0" w:line="240" w:lineRule="auto"/>
        <w:jc w:val="both"/>
      </w:pPr>
      <w:r>
        <w:rPr>
          <w:rFonts w:ascii="Calibri" w:hAnsi="Calibri" w:cs="Calibri"/>
        </w:rPr>
        <w:t>Ce médicament est administré selon une prise quotidienne (justifier vos réponses) :</w:t>
      </w:r>
    </w:p>
    <w:p w:rsidR="002D26D8" w:rsidRPr="00985605" w:rsidRDefault="002D26D8" w:rsidP="002D26D8">
      <w:pPr>
        <w:numPr>
          <w:ilvl w:val="0"/>
          <w:numId w:val="4"/>
        </w:numPr>
        <w:spacing w:after="0" w:line="240" w:lineRule="auto"/>
        <w:jc w:val="both"/>
      </w:pPr>
      <w:r>
        <w:rPr>
          <w:rFonts w:ascii="Calibri" w:hAnsi="Calibri" w:cs="Calibri"/>
        </w:rPr>
        <w:t>Oui, car le facteur d’accumulation ® est fonction de la T1/2 qui est divisé par 4 en présence de rifampicine</w:t>
      </w:r>
    </w:p>
    <w:p w:rsidR="002D26D8" w:rsidRPr="00985605" w:rsidRDefault="002D26D8" w:rsidP="002D26D8">
      <w:pPr>
        <w:numPr>
          <w:ilvl w:val="0"/>
          <w:numId w:val="4"/>
        </w:numPr>
        <w:spacing w:after="0" w:line="240" w:lineRule="auto"/>
        <w:jc w:val="both"/>
      </w:pPr>
      <w:r>
        <w:rPr>
          <w:rFonts w:ascii="Calibri" w:hAnsi="Calibri" w:cs="Calibri"/>
        </w:rPr>
        <w:t>diminué car R = 1 / (1 –</w:t>
      </w:r>
      <w:proofErr w:type="spellStart"/>
      <w:proofErr w:type="gramStart"/>
      <w:r>
        <w:rPr>
          <w:rFonts w:ascii="Calibri" w:hAnsi="Calibri" w:cs="Calibri"/>
        </w:rPr>
        <w:t>exp</w:t>
      </w:r>
      <w:proofErr w:type="spellEnd"/>
      <w:r>
        <w:rPr>
          <w:rFonts w:ascii="Calibri" w:hAnsi="Calibri" w:cs="Calibri"/>
        </w:rPr>
        <w:t>(</w:t>
      </w:r>
      <w:proofErr w:type="gramEnd"/>
      <w:r>
        <w:rPr>
          <w:rFonts w:ascii="Calibri" w:hAnsi="Calibri" w:cs="Calibri"/>
        </w:rPr>
        <w:t>-0.7 x τ / T1/2))</w:t>
      </w:r>
    </w:p>
    <w:p w:rsidR="002D26D8" w:rsidRDefault="002D26D8" w:rsidP="002D26D8">
      <w:pPr>
        <w:numPr>
          <w:ilvl w:val="0"/>
          <w:numId w:val="4"/>
        </w:numPr>
        <w:spacing w:after="0" w:line="240" w:lineRule="auto"/>
        <w:jc w:val="both"/>
      </w:pPr>
      <w:r>
        <w:t xml:space="preserve">déterminer la (ou les) valeur(s) de ce facteur d’accumulation en présence ou non de rifampicine : </w:t>
      </w:r>
      <w:r w:rsidR="00555EE5">
        <w:t xml:space="preserve">en présence </w:t>
      </w:r>
      <w:r>
        <w:t>de rifampicine, T/2 proche de τ, donc R proche de 2 ; application numérique en</w:t>
      </w:r>
      <w:r w:rsidR="00803AA8">
        <w:t xml:space="preserve"> </w:t>
      </w:r>
      <w:r w:rsidR="00555EE5">
        <w:t xml:space="preserve">l’absence </w:t>
      </w:r>
      <w:r>
        <w:t xml:space="preserve">de rifampicine : </w:t>
      </w:r>
      <w:r w:rsidR="00555EE5">
        <w:rPr>
          <w:rFonts w:ascii="Calibri" w:hAnsi="Calibri" w:cs="Calibri"/>
        </w:rPr>
        <w:t>R = 1 / (1 –</w:t>
      </w:r>
      <w:proofErr w:type="spellStart"/>
      <w:proofErr w:type="gramStart"/>
      <w:r w:rsidR="00555EE5">
        <w:rPr>
          <w:rFonts w:ascii="Calibri" w:hAnsi="Calibri" w:cs="Calibri"/>
        </w:rPr>
        <w:t>exp</w:t>
      </w:r>
      <w:proofErr w:type="spellEnd"/>
      <w:r w:rsidR="00555EE5">
        <w:rPr>
          <w:rFonts w:ascii="Calibri" w:hAnsi="Calibri" w:cs="Calibri"/>
        </w:rPr>
        <w:t>(</w:t>
      </w:r>
      <w:proofErr w:type="gramEnd"/>
      <w:r w:rsidR="00555EE5">
        <w:rPr>
          <w:rFonts w:ascii="Calibri" w:hAnsi="Calibri" w:cs="Calibri"/>
        </w:rPr>
        <w:t>-0.7 x 24 / 111))</w:t>
      </w:r>
      <w:r w:rsidR="00803AA8">
        <w:rPr>
          <w:rFonts w:ascii="Calibri" w:hAnsi="Calibri" w:cs="Calibri"/>
        </w:rPr>
        <w:t xml:space="preserve"> = 7.11</w:t>
      </w:r>
    </w:p>
    <w:p w:rsidR="006C6EC7" w:rsidRDefault="006C6EC7" w:rsidP="006C6EC7">
      <w:pPr>
        <w:spacing w:after="0" w:line="240" w:lineRule="auto"/>
        <w:jc w:val="both"/>
      </w:pPr>
    </w:p>
    <w:sectPr w:rsidR="006C6EC7">
      <w:headerReference w:type="default" r:id="rId1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8F8" w:rsidRDefault="004228F8" w:rsidP="003E15BD">
      <w:pPr>
        <w:spacing w:after="0" w:line="240" w:lineRule="auto"/>
      </w:pPr>
      <w:r>
        <w:separator/>
      </w:r>
    </w:p>
  </w:endnote>
  <w:endnote w:type="continuationSeparator" w:id="0">
    <w:p w:rsidR="004228F8" w:rsidRDefault="004228F8" w:rsidP="003E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8F8" w:rsidRDefault="004228F8" w:rsidP="003E15BD">
      <w:pPr>
        <w:spacing w:after="0" w:line="240" w:lineRule="auto"/>
      </w:pPr>
      <w:r>
        <w:separator/>
      </w:r>
    </w:p>
  </w:footnote>
  <w:footnote w:type="continuationSeparator" w:id="0">
    <w:p w:rsidR="004228F8" w:rsidRDefault="004228F8" w:rsidP="003E1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40805"/>
      <w:docPartObj>
        <w:docPartGallery w:val="Page Numbers (Top of Page)"/>
        <w:docPartUnique/>
      </w:docPartObj>
    </w:sdtPr>
    <w:sdtEndPr/>
    <w:sdtContent>
      <w:p w:rsidR="003E15BD" w:rsidRDefault="003E15BD">
        <w:pPr>
          <w:pStyle w:val="En-tte"/>
          <w:jc w:val="right"/>
        </w:pPr>
        <w:r>
          <w:fldChar w:fldCharType="begin"/>
        </w:r>
        <w:r>
          <w:instrText>PAGE   \* MERGEFORMAT</w:instrText>
        </w:r>
        <w:r>
          <w:fldChar w:fldCharType="separate"/>
        </w:r>
        <w:r w:rsidR="006048A8">
          <w:rPr>
            <w:noProof/>
          </w:rPr>
          <w:t>6</w:t>
        </w:r>
        <w:r>
          <w:fldChar w:fldCharType="end"/>
        </w:r>
      </w:p>
    </w:sdtContent>
  </w:sdt>
  <w:p w:rsidR="003E15BD" w:rsidRDefault="003E15B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268F6"/>
    <w:multiLevelType w:val="hybridMultilevel"/>
    <w:tmpl w:val="0A3863F4"/>
    <w:lvl w:ilvl="0" w:tplc="965CC19E">
      <w:start w:val="1"/>
      <w:numFmt w:val="low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29B58AC"/>
    <w:multiLevelType w:val="hybridMultilevel"/>
    <w:tmpl w:val="5AC244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CA50C1"/>
    <w:multiLevelType w:val="hybridMultilevel"/>
    <w:tmpl w:val="9C04E7A6"/>
    <w:lvl w:ilvl="0" w:tplc="A8D4819C">
      <w:start w:val="1"/>
      <w:numFmt w:val="low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FE95C88"/>
    <w:multiLevelType w:val="hybridMultilevel"/>
    <w:tmpl w:val="26804E22"/>
    <w:lvl w:ilvl="0" w:tplc="9D4CE8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7E7"/>
    <w:rsid w:val="00015745"/>
    <w:rsid w:val="00084D20"/>
    <w:rsid w:val="000933A8"/>
    <w:rsid w:val="00096743"/>
    <w:rsid w:val="000E460D"/>
    <w:rsid w:val="001170DD"/>
    <w:rsid w:val="00166315"/>
    <w:rsid w:val="002D26D8"/>
    <w:rsid w:val="002F7EDA"/>
    <w:rsid w:val="00331CEF"/>
    <w:rsid w:val="003679DA"/>
    <w:rsid w:val="003857C5"/>
    <w:rsid w:val="003E15BD"/>
    <w:rsid w:val="004228F8"/>
    <w:rsid w:val="00464D77"/>
    <w:rsid w:val="004C1EB0"/>
    <w:rsid w:val="005064D3"/>
    <w:rsid w:val="00553F7B"/>
    <w:rsid w:val="00555EE5"/>
    <w:rsid w:val="0059440A"/>
    <w:rsid w:val="005E1C8F"/>
    <w:rsid w:val="006048A8"/>
    <w:rsid w:val="0067348A"/>
    <w:rsid w:val="006C6EC7"/>
    <w:rsid w:val="006E6E32"/>
    <w:rsid w:val="00727185"/>
    <w:rsid w:val="00777AC1"/>
    <w:rsid w:val="007C1A7E"/>
    <w:rsid w:val="007C3A13"/>
    <w:rsid w:val="007D74E7"/>
    <w:rsid w:val="00803AA8"/>
    <w:rsid w:val="008F1B08"/>
    <w:rsid w:val="00931DF2"/>
    <w:rsid w:val="009368C4"/>
    <w:rsid w:val="00985605"/>
    <w:rsid w:val="0099403E"/>
    <w:rsid w:val="009B4485"/>
    <w:rsid w:val="00AC115A"/>
    <w:rsid w:val="00AC7396"/>
    <w:rsid w:val="00AD745E"/>
    <w:rsid w:val="00B44F1D"/>
    <w:rsid w:val="00D31129"/>
    <w:rsid w:val="00D967E7"/>
    <w:rsid w:val="00ED463B"/>
    <w:rsid w:val="00FD36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F8D43-CAE3-49BE-9EBE-146A777F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D36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FD364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5745"/>
    <w:pPr>
      <w:spacing w:after="200" w:line="276" w:lineRule="auto"/>
      <w:ind w:left="720"/>
      <w:contextualSpacing/>
    </w:pPr>
    <w:rPr>
      <w:rFonts w:ascii="Calibri" w:eastAsia="Calibri" w:hAnsi="Calibri" w:cs="Times New Roman"/>
    </w:rPr>
  </w:style>
  <w:style w:type="character" w:customStyle="1" w:styleId="Titre1Car">
    <w:name w:val="Titre 1 Car"/>
    <w:basedOn w:val="Policepardfaut"/>
    <w:link w:val="Titre1"/>
    <w:uiPriority w:val="9"/>
    <w:rsid w:val="00FD364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FD364F"/>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FD364F"/>
    <w:rPr>
      <w:color w:val="0000FF"/>
      <w:u w:val="single"/>
    </w:rPr>
  </w:style>
  <w:style w:type="character" w:customStyle="1" w:styleId="highlight">
    <w:name w:val="highlight"/>
    <w:basedOn w:val="Policepardfaut"/>
    <w:rsid w:val="00FD364F"/>
  </w:style>
  <w:style w:type="character" w:customStyle="1" w:styleId="ui-ncbitoggler-master-text">
    <w:name w:val="ui-ncbitoggler-master-text"/>
    <w:basedOn w:val="Policepardfaut"/>
    <w:rsid w:val="00FD364F"/>
  </w:style>
  <w:style w:type="paragraph" w:styleId="NormalWeb">
    <w:name w:val="Normal (Web)"/>
    <w:basedOn w:val="Normal"/>
    <w:uiPriority w:val="99"/>
    <w:semiHidden/>
    <w:unhideWhenUsed/>
    <w:rsid w:val="00FD36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84D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4D20"/>
    <w:rPr>
      <w:rFonts w:ascii="Segoe UI" w:hAnsi="Segoe UI" w:cs="Segoe UI"/>
      <w:sz w:val="18"/>
      <w:szCs w:val="18"/>
    </w:rPr>
  </w:style>
  <w:style w:type="paragraph" w:styleId="En-tte">
    <w:name w:val="header"/>
    <w:basedOn w:val="Normal"/>
    <w:link w:val="En-tteCar"/>
    <w:uiPriority w:val="99"/>
    <w:unhideWhenUsed/>
    <w:rsid w:val="003E15BD"/>
    <w:pPr>
      <w:tabs>
        <w:tab w:val="center" w:pos="4703"/>
        <w:tab w:val="right" w:pos="9406"/>
      </w:tabs>
      <w:spacing w:after="0" w:line="240" w:lineRule="auto"/>
    </w:pPr>
  </w:style>
  <w:style w:type="character" w:customStyle="1" w:styleId="En-tteCar">
    <w:name w:val="En-tête Car"/>
    <w:basedOn w:val="Policepardfaut"/>
    <w:link w:val="En-tte"/>
    <w:uiPriority w:val="99"/>
    <w:rsid w:val="003E15BD"/>
  </w:style>
  <w:style w:type="paragraph" w:styleId="Pieddepage">
    <w:name w:val="footer"/>
    <w:basedOn w:val="Normal"/>
    <w:link w:val="PieddepageCar"/>
    <w:uiPriority w:val="99"/>
    <w:unhideWhenUsed/>
    <w:rsid w:val="003E15B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E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1913">
      <w:bodyDiv w:val="1"/>
      <w:marLeft w:val="0"/>
      <w:marRight w:val="0"/>
      <w:marTop w:val="0"/>
      <w:marBottom w:val="0"/>
      <w:divBdr>
        <w:top w:val="none" w:sz="0" w:space="0" w:color="auto"/>
        <w:left w:val="none" w:sz="0" w:space="0" w:color="auto"/>
        <w:bottom w:val="none" w:sz="0" w:space="0" w:color="auto"/>
        <w:right w:val="none" w:sz="0" w:space="0" w:color="auto"/>
      </w:divBdr>
      <w:divsChild>
        <w:div w:id="1152138785">
          <w:marLeft w:val="0"/>
          <w:marRight w:val="0"/>
          <w:marTop w:val="0"/>
          <w:marBottom w:val="0"/>
          <w:divBdr>
            <w:top w:val="none" w:sz="0" w:space="0" w:color="auto"/>
            <w:left w:val="none" w:sz="0" w:space="0" w:color="auto"/>
            <w:bottom w:val="none" w:sz="0" w:space="0" w:color="auto"/>
            <w:right w:val="none" w:sz="0" w:space="0" w:color="auto"/>
          </w:divBdr>
        </w:div>
        <w:div w:id="85806107">
          <w:marLeft w:val="0"/>
          <w:marRight w:val="0"/>
          <w:marTop w:val="0"/>
          <w:marBottom w:val="0"/>
          <w:divBdr>
            <w:top w:val="none" w:sz="0" w:space="0" w:color="auto"/>
            <w:left w:val="none" w:sz="0" w:space="0" w:color="auto"/>
            <w:bottom w:val="none" w:sz="0" w:space="0" w:color="auto"/>
            <w:right w:val="none" w:sz="0" w:space="0" w:color="auto"/>
          </w:divBdr>
        </w:div>
        <w:div w:id="1490291512">
          <w:marLeft w:val="0"/>
          <w:marRight w:val="0"/>
          <w:marTop w:val="0"/>
          <w:marBottom w:val="0"/>
          <w:divBdr>
            <w:top w:val="none" w:sz="0" w:space="0" w:color="auto"/>
            <w:left w:val="none" w:sz="0" w:space="0" w:color="auto"/>
            <w:bottom w:val="none" w:sz="0" w:space="0" w:color="auto"/>
            <w:right w:val="none" w:sz="0" w:space="0" w:color="auto"/>
          </w:divBdr>
        </w:div>
        <w:div w:id="1598516274">
          <w:marLeft w:val="0"/>
          <w:marRight w:val="0"/>
          <w:marTop w:val="0"/>
          <w:marBottom w:val="0"/>
          <w:divBdr>
            <w:top w:val="none" w:sz="0" w:space="0" w:color="auto"/>
            <w:left w:val="none" w:sz="0" w:space="0" w:color="auto"/>
            <w:bottom w:val="none" w:sz="0" w:space="0" w:color="auto"/>
            <w:right w:val="none" w:sz="0" w:space="0" w:color="auto"/>
          </w:divBdr>
        </w:div>
        <w:div w:id="1822885544">
          <w:marLeft w:val="0"/>
          <w:marRight w:val="0"/>
          <w:marTop w:val="0"/>
          <w:marBottom w:val="0"/>
          <w:divBdr>
            <w:top w:val="none" w:sz="0" w:space="0" w:color="auto"/>
            <w:left w:val="none" w:sz="0" w:space="0" w:color="auto"/>
            <w:bottom w:val="none" w:sz="0" w:space="0" w:color="auto"/>
            <w:right w:val="none" w:sz="0" w:space="0" w:color="auto"/>
          </w:divBdr>
        </w:div>
        <w:div w:id="1449620211">
          <w:marLeft w:val="0"/>
          <w:marRight w:val="0"/>
          <w:marTop w:val="0"/>
          <w:marBottom w:val="0"/>
          <w:divBdr>
            <w:top w:val="none" w:sz="0" w:space="0" w:color="auto"/>
            <w:left w:val="none" w:sz="0" w:space="0" w:color="auto"/>
            <w:bottom w:val="none" w:sz="0" w:space="0" w:color="auto"/>
            <w:right w:val="none" w:sz="0" w:space="0" w:color="auto"/>
          </w:divBdr>
        </w:div>
        <w:div w:id="57285054">
          <w:marLeft w:val="0"/>
          <w:marRight w:val="0"/>
          <w:marTop w:val="0"/>
          <w:marBottom w:val="0"/>
          <w:divBdr>
            <w:top w:val="none" w:sz="0" w:space="0" w:color="auto"/>
            <w:left w:val="none" w:sz="0" w:space="0" w:color="auto"/>
            <w:bottom w:val="none" w:sz="0" w:space="0" w:color="auto"/>
            <w:right w:val="none" w:sz="0" w:space="0" w:color="auto"/>
          </w:divBdr>
        </w:div>
        <w:div w:id="729033217">
          <w:marLeft w:val="0"/>
          <w:marRight w:val="0"/>
          <w:marTop w:val="0"/>
          <w:marBottom w:val="0"/>
          <w:divBdr>
            <w:top w:val="none" w:sz="0" w:space="0" w:color="auto"/>
            <w:left w:val="none" w:sz="0" w:space="0" w:color="auto"/>
            <w:bottom w:val="none" w:sz="0" w:space="0" w:color="auto"/>
            <w:right w:val="none" w:sz="0" w:space="0" w:color="auto"/>
          </w:divBdr>
        </w:div>
        <w:div w:id="2034374779">
          <w:marLeft w:val="0"/>
          <w:marRight w:val="0"/>
          <w:marTop w:val="0"/>
          <w:marBottom w:val="0"/>
          <w:divBdr>
            <w:top w:val="none" w:sz="0" w:space="0" w:color="auto"/>
            <w:left w:val="none" w:sz="0" w:space="0" w:color="auto"/>
            <w:bottom w:val="none" w:sz="0" w:space="0" w:color="auto"/>
            <w:right w:val="none" w:sz="0" w:space="0" w:color="auto"/>
          </w:divBdr>
        </w:div>
        <w:div w:id="1222252212">
          <w:marLeft w:val="0"/>
          <w:marRight w:val="0"/>
          <w:marTop w:val="0"/>
          <w:marBottom w:val="0"/>
          <w:divBdr>
            <w:top w:val="none" w:sz="0" w:space="0" w:color="auto"/>
            <w:left w:val="none" w:sz="0" w:space="0" w:color="auto"/>
            <w:bottom w:val="none" w:sz="0" w:space="0" w:color="auto"/>
            <w:right w:val="none" w:sz="0" w:space="0" w:color="auto"/>
          </w:divBdr>
        </w:div>
        <w:div w:id="1992981439">
          <w:marLeft w:val="0"/>
          <w:marRight w:val="0"/>
          <w:marTop w:val="0"/>
          <w:marBottom w:val="0"/>
          <w:divBdr>
            <w:top w:val="none" w:sz="0" w:space="0" w:color="auto"/>
            <w:left w:val="none" w:sz="0" w:space="0" w:color="auto"/>
            <w:bottom w:val="none" w:sz="0" w:space="0" w:color="auto"/>
            <w:right w:val="none" w:sz="0" w:space="0" w:color="auto"/>
          </w:divBdr>
        </w:div>
        <w:div w:id="1881629941">
          <w:marLeft w:val="0"/>
          <w:marRight w:val="0"/>
          <w:marTop w:val="0"/>
          <w:marBottom w:val="0"/>
          <w:divBdr>
            <w:top w:val="none" w:sz="0" w:space="0" w:color="auto"/>
            <w:left w:val="none" w:sz="0" w:space="0" w:color="auto"/>
            <w:bottom w:val="none" w:sz="0" w:space="0" w:color="auto"/>
            <w:right w:val="none" w:sz="0" w:space="0" w:color="auto"/>
          </w:divBdr>
        </w:div>
        <w:div w:id="747575788">
          <w:marLeft w:val="0"/>
          <w:marRight w:val="0"/>
          <w:marTop w:val="0"/>
          <w:marBottom w:val="0"/>
          <w:divBdr>
            <w:top w:val="none" w:sz="0" w:space="0" w:color="auto"/>
            <w:left w:val="none" w:sz="0" w:space="0" w:color="auto"/>
            <w:bottom w:val="none" w:sz="0" w:space="0" w:color="auto"/>
            <w:right w:val="none" w:sz="0" w:space="0" w:color="auto"/>
          </w:divBdr>
        </w:div>
        <w:div w:id="1985771180">
          <w:marLeft w:val="0"/>
          <w:marRight w:val="0"/>
          <w:marTop w:val="0"/>
          <w:marBottom w:val="0"/>
          <w:divBdr>
            <w:top w:val="none" w:sz="0" w:space="0" w:color="auto"/>
            <w:left w:val="none" w:sz="0" w:space="0" w:color="auto"/>
            <w:bottom w:val="none" w:sz="0" w:space="0" w:color="auto"/>
            <w:right w:val="none" w:sz="0" w:space="0" w:color="auto"/>
          </w:divBdr>
        </w:div>
        <w:div w:id="1264268775">
          <w:marLeft w:val="0"/>
          <w:marRight w:val="0"/>
          <w:marTop w:val="0"/>
          <w:marBottom w:val="0"/>
          <w:divBdr>
            <w:top w:val="none" w:sz="0" w:space="0" w:color="auto"/>
            <w:left w:val="none" w:sz="0" w:space="0" w:color="auto"/>
            <w:bottom w:val="none" w:sz="0" w:space="0" w:color="auto"/>
            <w:right w:val="none" w:sz="0" w:space="0" w:color="auto"/>
          </w:divBdr>
        </w:div>
        <w:div w:id="25062936">
          <w:marLeft w:val="0"/>
          <w:marRight w:val="0"/>
          <w:marTop w:val="0"/>
          <w:marBottom w:val="0"/>
          <w:divBdr>
            <w:top w:val="none" w:sz="0" w:space="0" w:color="auto"/>
            <w:left w:val="none" w:sz="0" w:space="0" w:color="auto"/>
            <w:bottom w:val="none" w:sz="0" w:space="0" w:color="auto"/>
            <w:right w:val="none" w:sz="0" w:space="0" w:color="auto"/>
          </w:divBdr>
        </w:div>
        <w:div w:id="1060440701">
          <w:marLeft w:val="0"/>
          <w:marRight w:val="0"/>
          <w:marTop w:val="0"/>
          <w:marBottom w:val="0"/>
          <w:divBdr>
            <w:top w:val="none" w:sz="0" w:space="0" w:color="auto"/>
            <w:left w:val="none" w:sz="0" w:space="0" w:color="auto"/>
            <w:bottom w:val="none" w:sz="0" w:space="0" w:color="auto"/>
            <w:right w:val="none" w:sz="0" w:space="0" w:color="auto"/>
          </w:divBdr>
        </w:div>
        <w:div w:id="2051606266">
          <w:marLeft w:val="0"/>
          <w:marRight w:val="0"/>
          <w:marTop w:val="0"/>
          <w:marBottom w:val="0"/>
          <w:divBdr>
            <w:top w:val="none" w:sz="0" w:space="0" w:color="auto"/>
            <w:left w:val="none" w:sz="0" w:space="0" w:color="auto"/>
            <w:bottom w:val="none" w:sz="0" w:space="0" w:color="auto"/>
            <w:right w:val="none" w:sz="0" w:space="0" w:color="auto"/>
          </w:divBdr>
        </w:div>
        <w:div w:id="482821411">
          <w:marLeft w:val="0"/>
          <w:marRight w:val="0"/>
          <w:marTop w:val="0"/>
          <w:marBottom w:val="0"/>
          <w:divBdr>
            <w:top w:val="none" w:sz="0" w:space="0" w:color="auto"/>
            <w:left w:val="none" w:sz="0" w:space="0" w:color="auto"/>
            <w:bottom w:val="none" w:sz="0" w:space="0" w:color="auto"/>
            <w:right w:val="none" w:sz="0" w:space="0" w:color="auto"/>
          </w:divBdr>
        </w:div>
        <w:div w:id="1781217809">
          <w:marLeft w:val="0"/>
          <w:marRight w:val="0"/>
          <w:marTop w:val="0"/>
          <w:marBottom w:val="0"/>
          <w:divBdr>
            <w:top w:val="none" w:sz="0" w:space="0" w:color="auto"/>
            <w:left w:val="none" w:sz="0" w:space="0" w:color="auto"/>
            <w:bottom w:val="none" w:sz="0" w:space="0" w:color="auto"/>
            <w:right w:val="none" w:sz="0" w:space="0" w:color="auto"/>
          </w:divBdr>
        </w:div>
        <w:div w:id="630478877">
          <w:marLeft w:val="0"/>
          <w:marRight w:val="0"/>
          <w:marTop w:val="0"/>
          <w:marBottom w:val="0"/>
          <w:divBdr>
            <w:top w:val="none" w:sz="0" w:space="0" w:color="auto"/>
            <w:left w:val="none" w:sz="0" w:space="0" w:color="auto"/>
            <w:bottom w:val="none" w:sz="0" w:space="0" w:color="auto"/>
            <w:right w:val="none" w:sz="0" w:space="0" w:color="auto"/>
          </w:divBdr>
        </w:div>
        <w:div w:id="2130732576">
          <w:marLeft w:val="0"/>
          <w:marRight w:val="0"/>
          <w:marTop w:val="0"/>
          <w:marBottom w:val="0"/>
          <w:divBdr>
            <w:top w:val="none" w:sz="0" w:space="0" w:color="auto"/>
            <w:left w:val="none" w:sz="0" w:space="0" w:color="auto"/>
            <w:bottom w:val="none" w:sz="0" w:space="0" w:color="auto"/>
            <w:right w:val="none" w:sz="0" w:space="0" w:color="auto"/>
          </w:divBdr>
        </w:div>
        <w:div w:id="1869373430">
          <w:marLeft w:val="0"/>
          <w:marRight w:val="0"/>
          <w:marTop w:val="0"/>
          <w:marBottom w:val="0"/>
          <w:divBdr>
            <w:top w:val="none" w:sz="0" w:space="0" w:color="auto"/>
            <w:left w:val="none" w:sz="0" w:space="0" w:color="auto"/>
            <w:bottom w:val="none" w:sz="0" w:space="0" w:color="auto"/>
            <w:right w:val="none" w:sz="0" w:space="0" w:color="auto"/>
          </w:divBdr>
        </w:div>
        <w:div w:id="2119980124">
          <w:marLeft w:val="0"/>
          <w:marRight w:val="0"/>
          <w:marTop w:val="0"/>
          <w:marBottom w:val="0"/>
          <w:divBdr>
            <w:top w:val="none" w:sz="0" w:space="0" w:color="auto"/>
            <w:left w:val="none" w:sz="0" w:space="0" w:color="auto"/>
            <w:bottom w:val="none" w:sz="0" w:space="0" w:color="auto"/>
            <w:right w:val="none" w:sz="0" w:space="0" w:color="auto"/>
          </w:divBdr>
        </w:div>
        <w:div w:id="2109084773">
          <w:marLeft w:val="0"/>
          <w:marRight w:val="0"/>
          <w:marTop w:val="0"/>
          <w:marBottom w:val="0"/>
          <w:divBdr>
            <w:top w:val="none" w:sz="0" w:space="0" w:color="auto"/>
            <w:left w:val="none" w:sz="0" w:space="0" w:color="auto"/>
            <w:bottom w:val="none" w:sz="0" w:space="0" w:color="auto"/>
            <w:right w:val="none" w:sz="0" w:space="0" w:color="auto"/>
          </w:divBdr>
        </w:div>
        <w:div w:id="52898142">
          <w:marLeft w:val="0"/>
          <w:marRight w:val="0"/>
          <w:marTop w:val="0"/>
          <w:marBottom w:val="0"/>
          <w:divBdr>
            <w:top w:val="none" w:sz="0" w:space="0" w:color="auto"/>
            <w:left w:val="none" w:sz="0" w:space="0" w:color="auto"/>
            <w:bottom w:val="none" w:sz="0" w:space="0" w:color="auto"/>
            <w:right w:val="none" w:sz="0" w:space="0" w:color="auto"/>
          </w:divBdr>
        </w:div>
        <w:div w:id="132524264">
          <w:marLeft w:val="0"/>
          <w:marRight w:val="0"/>
          <w:marTop w:val="0"/>
          <w:marBottom w:val="0"/>
          <w:divBdr>
            <w:top w:val="none" w:sz="0" w:space="0" w:color="auto"/>
            <w:left w:val="none" w:sz="0" w:space="0" w:color="auto"/>
            <w:bottom w:val="none" w:sz="0" w:space="0" w:color="auto"/>
            <w:right w:val="none" w:sz="0" w:space="0" w:color="auto"/>
          </w:divBdr>
        </w:div>
        <w:div w:id="1935088717">
          <w:marLeft w:val="0"/>
          <w:marRight w:val="0"/>
          <w:marTop w:val="0"/>
          <w:marBottom w:val="0"/>
          <w:divBdr>
            <w:top w:val="none" w:sz="0" w:space="0" w:color="auto"/>
            <w:left w:val="none" w:sz="0" w:space="0" w:color="auto"/>
            <w:bottom w:val="none" w:sz="0" w:space="0" w:color="auto"/>
            <w:right w:val="none" w:sz="0" w:space="0" w:color="auto"/>
          </w:divBdr>
        </w:div>
        <w:div w:id="1256135349">
          <w:marLeft w:val="0"/>
          <w:marRight w:val="0"/>
          <w:marTop w:val="0"/>
          <w:marBottom w:val="0"/>
          <w:divBdr>
            <w:top w:val="none" w:sz="0" w:space="0" w:color="auto"/>
            <w:left w:val="none" w:sz="0" w:space="0" w:color="auto"/>
            <w:bottom w:val="none" w:sz="0" w:space="0" w:color="auto"/>
            <w:right w:val="none" w:sz="0" w:space="0" w:color="auto"/>
          </w:divBdr>
        </w:div>
        <w:div w:id="447310590">
          <w:marLeft w:val="0"/>
          <w:marRight w:val="0"/>
          <w:marTop w:val="0"/>
          <w:marBottom w:val="0"/>
          <w:divBdr>
            <w:top w:val="none" w:sz="0" w:space="0" w:color="auto"/>
            <w:left w:val="none" w:sz="0" w:space="0" w:color="auto"/>
            <w:bottom w:val="none" w:sz="0" w:space="0" w:color="auto"/>
            <w:right w:val="none" w:sz="0" w:space="0" w:color="auto"/>
          </w:divBdr>
        </w:div>
        <w:div w:id="687411235">
          <w:marLeft w:val="0"/>
          <w:marRight w:val="0"/>
          <w:marTop w:val="0"/>
          <w:marBottom w:val="0"/>
          <w:divBdr>
            <w:top w:val="none" w:sz="0" w:space="0" w:color="auto"/>
            <w:left w:val="none" w:sz="0" w:space="0" w:color="auto"/>
            <w:bottom w:val="none" w:sz="0" w:space="0" w:color="auto"/>
            <w:right w:val="none" w:sz="0" w:space="0" w:color="auto"/>
          </w:divBdr>
        </w:div>
        <w:div w:id="272057242">
          <w:marLeft w:val="0"/>
          <w:marRight w:val="0"/>
          <w:marTop w:val="0"/>
          <w:marBottom w:val="0"/>
          <w:divBdr>
            <w:top w:val="none" w:sz="0" w:space="0" w:color="auto"/>
            <w:left w:val="none" w:sz="0" w:space="0" w:color="auto"/>
            <w:bottom w:val="none" w:sz="0" w:space="0" w:color="auto"/>
            <w:right w:val="none" w:sz="0" w:space="0" w:color="auto"/>
          </w:divBdr>
        </w:div>
        <w:div w:id="440227553">
          <w:marLeft w:val="0"/>
          <w:marRight w:val="0"/>
          <w:marTop w:val="0"/>
          <w:marBottom w:val="0"/>
          <w:divBdr>
            <w:top w:val="none" w:sz="0" w:space="0" w:color="auto"/>
            <w:left w:val="none" w:sz="0" w:space="0" w:color="auto"/>
            <w:bottom w:val="none" w:sz="0" w:space="0" w:color="auto"/>
            <w:right w:val="none" w:sz="0" w:space="0" w:color="auto"/>
          </w:divBdr>
        </w:div>
        <w:div w:id="240137688">
          <w:marLeft w:val="0"/>
          <w:marRight w:val="0"/>
          <w:marTop w:val="0"/>
          <w:marBottom w:val="0"/>
          <w:divBdr>
            <w:top w:val="none" w:sz="0" w:space="0" w:color="auto"/>
            <w:left w:val="none" w:sz="0" w:space="0" w:color="auto"/>
            <w:bottom w:val="none" w:sz="0" w:space="0" w:color="auto"/>
            <w:right w:val="none" w:sz="0" w:space="0" w:color="auto"/>
          </w:divBdr>
        </w:div>
        <w:div w:id="609242465">
          <w:marLeft w:val="0"/>
          <w:marRight w:val="0"/>
          <w:marTop w:val="0"/>
          <w:marBottom w:val="0"/>
          <w:divBdr>
            <w:top w:val="none" w:sz="0" w:space="0" w:color="auto"/>
            <w:left w:val="none" w:sz="0" w:space="0" w:color="auto"/>
            <w:bottom w:val="none" w:sz="0" w:space="0" w:color="auto"/>
            <w:right w:val="none" w:sz="0" w:space="0" w:color="auto"/>
          </w:divBdr>
        </w:div>
        <w:div w:id="507213065">
          <w:marLeft w:val="0"/>
          <w:marRight w:val="0"/>
          <w:marTop w:val="0"/>
          <w:marBottom w:val="0"/>
          <w:divBdr>
            <w:top w:val="none" w:sz="0" w:space="0" w:color="auto"/>
            <w:left w:val="none" w:sz="0" w:space="0" w:color="auto"/>
            <w:bottom w:val="none" w:sz="0" w:space="0" w:color="auto"/>
            <w:right w:val="none" w:sz="0" w:space="0" w:color="auto"/>
          </w:divBdr>
        </w:div>
      </w:divsChild>
    </w:div>
    <w:div w:id="1039285962">
      <w:bodyDiv w:val="1"/>
      <w:marLeft w:val="0"/>
      <w:marRight w:val="0"/>
      <w:marTop w:val="0"/>
      <w:marBottom w:val="0"/>
      <w:divBdr>
        <w:top w:val="none" w:sz="0" w:space="0" w:color="auto"/>
        <w:left w:val="none" w:sz="0" w:space="0" w:color="auto"/>
        <w:bottom w:val="none" w:sz="0" w:space="0" w:color="auto"/>
        <w:right w:val="none" w:sz="0" w:space="0" w:color="auto"/>
      </w:divBdr>
      <w:divsChild>
        <w:div w:id="1701392900">
          <w:marLeft w:val="0"/>
          <w:marRight w:val="0"/>
          <w:marTop w:val="0"/>
          <w:marBottom w:val="0"/>
          <w:divBdr>
            <w:top w:val="none" w:sz="0" w:space="0" w:color="auto"/>
            <w:left w:val="none" w:sz="0" w:space="0" w:color="auto"/>
            <w:bottom w:val="none" w:sz="0" w:space="0" w:color="auto"/>
            <w:right w:val="none" w:sz="0" w:space="0" w:color="auto"/>
          </w:divBdr>
        </w:div>
        <w:div w:id="1229461435">
          <w:marLeft w:val="0"/>
          <w:marRight w:val="0"/>
          <w:marTop w:val="0"/>
          <w:marBottom w:val="0"/>
          <w:divBdr>
            <w:top w:val="none" w:sz="0" w:space="0" w:color="auto"/>
            <w:left w:val="none" w:sz="0" w:space="0" w:color="auto"/>
            <w:bottom w:val="none" w:sz="0" w:space="0" w:color="auto"/>
            <w:right w:val="none" w:sz="0" w:space="0" w:color="auto"/>
          </w:divBdr>
        </w:div>
        <w:div w:id="27414907">
          <w:marLeft w:val="0"/>
          <w:marRight w:val="0"/>
          <w:marTop w:val="0"/>
          <w:marBottom w:val="0"/>
          <w:divBdr>
            <w:top w:val="none" w:sz="0" w:space="0" w:color="auto"/>
            <w:left w:val="none" w:sz="0" w:space="0" w:color="auto"/>
            <w:bottom w:val="none" w:sz="0" w:space="0" w:color="auto"/>
            <w:right w:val="none" w:sz="0" w:space="0" w:color="auto"/>
          </w:divBdr>
        </w:div>
        <w:div w:id="827012885">
          <w:marLeft w:val="0"/>
          <w:marRight w:val="0"/>
          <w:marTop w:val="0"/>
          <w:marBottom w:val="0"/>
          <w:divBdr>
            <w:top w:val="none" w:sz="0" w:space="0" w:color="auto"/>
            <w:left w:val="none" w:sz="0" w:space="0" w:color="auto"/>
            <w:bottom w:val="none" w:sz="0" w:space="0" w:color="auto"/>
            <w:right w:val="none" w:sz="0" w:space="0" w:color="auto"/>
          </w:divBdr>
          <w:divsChild>
            <w:div w:id="19841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Nguyen%20L%5BAuthor%5D&amp;cauthor=true&amp;cauthor_uid=25854986" TargetMode="External"/><Relationship Id="rId13" Type="http://schemas.openxmlformats.org/officeDocument/2006/relationships/hyperlink" Target="https://www.ncbi.nlm.nih.gov/pubmed/?term=O%27Reilly%20T%5BAuthor%5D&amp;cauthor=true&amp;cauthor_uid=25854986"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cbi.nlm.nih.gov/pubmed/25854986" TargetMode="External"/><Relationship Id="rId12" Type="http://schemas.openxmlformats.org/officeDocument/2006/relationships/hyperlink" Target="https://www.ncbi.nlm.nih.gov/pubmed/?term=Benrimoh%20N%5BAuthor%5D&amp;cauthor=true&amp;cauthor_uid=25854986"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Engel%20C%5BAuthor%5D&amp;cauthor=true&amp;cauthor_uid=25854986"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https://www.ncbi.nlm.nih.gov/pubmed/?term=Miles%20D%5BAuthor%5D&amp;cauthor=true&amp;cauthor_uid=258549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ubmed/?term=Holland%20J%5BAuthor%5D&amp;cauthor=true&amp;cauthor_uid=25854986" TargetMode="External"/><Relationship Id="rId14" Type="http://schemas.openxmlformats.org/officeDocument/2006/relationships/hyperlink" Target="https://www.ncbi.nlm.nih.gov/pubmed/?term=Lacy%20S%5BAuthor%5D&amp;cauthor=true&amp;cauthor_uid=2585498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1558</Words>
  <Characters>8572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IUC Toulouse</Company>
  <LinksUpToDate>false</LinksUpToDate>
  <CharactersWithSpaces>10110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Chatelut Etienne</dc:creator>
  <cp:keywords/>
  <dc:description/>
  <cp:lastModifiedBy>Chatelut Etienne</cp:lastModifiedBy>
  <cp:revision>12</cp:revision>
  <cp:lastPrinted>2019-02-11T12:47:00Z</cp:lastPrinted>
  <dcterms:created xsi:type="dcterms:W3CDTF">2018-12-07T15:32:00Z</dcterms:created>
  <dcterms:modified xsi:type="dcterms:W3CDTF">2019-02-11T12:48:00Z</dcterms:modified>
</cp:coreProperties>
</file>